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AA" w:rsidRDefault="00450317" w:rsidP="00450317">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450317" w:rsidRDefault="00450317" w:rsidP="00450317">
      <w:pPr>
        <w:pStyle w:val="NoSpacing"/>
        <w:rPr>
          <w:rFonts w:ascii="Garamond" w:hAnsi="Garamond"/>
          <w:sz w:val="24"/>
          <w:szCs w:val="24"/>
          <w:u w:val="single"/>
        </w:rPr>
      </w:pPr>
    </w:p>
    <w:p w:rsidR="00450317" w:rsidRDefault="00450317" w:rsidP="00450317">
      <w:pPr>
        <w:pStyle w:val="NoSpacing"/>
        <w:jc w:val="center"/>
        <w:rPr>
          <w:rFonts w:ascii="Garamond" w:hAnsi="Garamond"/>
          <w:sz w:val="24"/>
          <w:szCs w:val="24"/>
        </w:rPr>
      </w:pPr>
      <w:r>
        <w:rPr>
          <w:rFonts w:ascii="Garamond" w:hAnsi="Garamond"/>
          <w:sz w:val="24"/>
          <w:szCs w:val="24"/>
        </w:rPr>
        <w:t>Transitions &amp; Lead Ins</w:t>
      </w:r>
    </w:p>
    <w:p w:rsidR="00DC527E" w:rsidRDefault="00DC527E" w:rsidP="00450317">
      <w:pPr>
        <w:pStyle w:val="NoSpacing"/>
        <w:jc w:val="center"/>
        <w:rPr>
          <w:rFonts w:ascii="Garamond" w:hAnsi="Garamond"/>
          <w:sz w:val="24"/>
          <w:szCs w:val="24"/>
        </w:rPr>
      </w:pPr>
    </w:p>
    <w:p w:rsidR="00DC527E" w:rsidRDefault="00DC527E" w:rsidP="00450317">
      <w:pPr>
        <w:pStyle w:val="NoSpacing"/>
        <w:jc w:val="center"/>
        <w:rPr>
          <w:rFonts w:ascii="Garamond" w:hAnsi="Garamond"/>
          <w:sz w:val="24"/>
          <w:szCs w:val="24"/>
        </w:rPr>
      </w:pPr>
      <w:r w:rsidRPr="00DC527E">
        <w:rPr>
          <w:rFonts w:ascii="Garamond" w:hAnsi="Garamond"/>
          <w:b/>
          <w:sz w:val="24"/>
          <w:szCs w:val="24"/>
        </w:rPr>
        <w:t>Note:</w:t>
      </w:r>
      <w:r>
        <w:rPr>
          <w:rFonts w:ascii="Garamond" w:hAnsi="Garamond"/>
          <w:sz w:val="24"/>
          <w:szCs w:val="24"/>
        </w:rPr>
        <w:t xml:space="preserve">  Some </w:t>
      </w:r>
      <w:r w:rsidR="006573F9">
        <w:rPr>
          <w:rFonts w:ascii="Garamond" w:hAnsi="Garamond"/>
          <w:sz w:val="24"/>
          <w:szCs w:val="24"/>
        </w:rPr>
        <w:t>transitions/lead ins</w:t>
      </w:r>
      <w:r>
        <w:rPr>
          <w:rFonts w:ascii="Garamond" w:hAnsi="Garamond"/>
          <w:sz w:val="24"/>
          <w:szCs w:val="24"/>
        </w:rPr>
        <w:t xml:space="preserve"> can be used in various categories</w:t>
      </w:r>
    </w:p>
    <w:p w:rsidR="00450317" w:rsidRDefault="00450317" w:rsidP="00450317">
      <w:pPr>
        <w:pStyle w:val="NoSpacing"/>
        <w:jc w:val="center"/>
        <w:rPr>
          <w:rFonts w:ascii="Garamond" w:hAnsi="Garamond"/>
          <w:sz w:val="24"/>
          <w:szCs w:val="24"/>
        </w:rPr>
      </w:pPr>
    </w:p>
    <w:tbl>
      <w:tblPr>
        <w:tblStyle w:val="TableGrid"/>
        <w:tblW w:w="0" w:type="auto"/>
        <w:tblLook w:val="04A0" w:firstRow="1" w:lastRow="0" w:firstColumn="1" w:lastColumn="0" w:noHBand="0" w:noVBand="1"/>
      </w:tblPr>
      <w:tblGrid>
        <w:gridCol w:w="4675"/>
        <w:gridCol w:w="4675"/>
      </w:tblGrid>
      <w:tr w:rsidR="00450317" w:rsidTr="00450317">
        <w:tc>
          <w:tcPr>
            <w:tcW w:w="4675" w:type="dxa"/>
          </w:tcPr>
          <w:p w:rsidR="00450317" w:rsidRDefault="00450317" w:rsidP="00450317">
            <w:pPr>
              <w:pStyle w:val="NoSpacing"/>
              <w:jc w:val="center"/>
              <w:rPr>
                <w:rFonts w:ascii="Garamond" w:hAnsi="Garamond"/>
                <w:sz w:val="24"/>
                <w:szCs w:val="24"/>
              </w:rPr>
            </w:pPr>
            <w:r>
              <w:rPr>
                <w:rFonts w:ascii="Garamond" w:hAnsi="Garamond"/>
                <w:sz w:val="24"/>
                <w:szCs w:val="24"/>
              </w:rPr>
              <w:t>Transitions</w:t>
            </w:r>
          </w:p>
        </w:tc>
        <w:tc>
          <w:tcPr>
            <w:tcW w:w="4675" w:type="dxa"/>
          </w:tcPr>
          <w:p w:rsidR="00450317" w:rsidRDefault="00450317" w:rsidP="00450317">
            <w:pPr>
              <w:pStyle w:val="NoSpacing"/>
              <w:jc w:val="center"/>
              <w:rPr>
                <w:rFonts w:ascii="Garamond" w:hAnsi="Garamond"/>
                <w:sz w:val="24"/>
                <w:szCs w:val="24"/>
              </w:rPr>
            </w:pPr>
            <w:r>
              <w:rPr>
                <w:rFonts w:ascii="Garamond" w:hAnsi="Garamond"/>
                <w:sz w:val="24"/>
                <w:szCs w:val="24"/>
              </w:rPr>
              <w:t>Uses</w:t>
            </w:r>
          </w:p>
        </w:tc>
      </w:tr>
      <w:tr w:rsidR="00450317" w:rsidTr="00450317">
        <w:tc>
          <w:tcPr>
            <w:tcW w:w="4675" w:type="dxa"/>
          </w:tcPr>
          <w:p w:rsidR="00450317" w:rsidRDefault="00450317" w:rsidP="00450317">
            <w:pPr>
              <w:pStyle w:val="NoSpacing"/>
              <w:numPr>
                <w:ilvl w:val="0"/>
                <w:numId w:val="1"/>
              </w:numPr>
              <w:rPr>
                <w:rFonts w:ascii="Garamond" w:hAnsi="Garamond"/>
                <w:sz w:val="24"/>
                <w:szCs w:val="24"/>
              </w:rPr>
            </w:pPr>
            <w:r>
              <w:rPr>
                <w:rFonts w:ascii="Garamond" w:hAnsi="Garamond"/>
                <w:sz w:val="24"/>
                <w:szCs w:val="24"/>
              </w:rPr>
              <w:t>First, firstly, most important, first and most importantly, second, secondly, on top of that, third, thirdly, next, then, later, meanwhile, eventually, finally, valuable to note, on top of that, moreover, furthermore, in the same way</w:t>
            </w:r>
          </w:p>
          <w:p w:rsidR="00450317" w:rsidRDefault="00450317" w:rsidP="00450317">
            <w:pPr>
              <w:pStyle w:val="NoSpacing"/>
              <w:ind w:left="720"/>
              <w:rPr>
                <w:rFonts w:ascii="Garamond" w:hAnsi="Garamond"/>
                <w:sz w:val="24"/>
                <w:szCs w:val="24"/>
              </w:rPr>
            </w:pPr>
          </w:p>
        </w:tc>
        <w:tc>
          <w:tcPr>
            <w:tcW w:w="4675" w:type="dxa"/>
          </w:tcPr>
          <w:p w:rsidR="00450317" w:rsidRDefault="00DC527E" w:rsidP="00450317">
            <w:pPr>
              <w:pStyle w:val="NoSpacing"/>
              <w:rPr>
                <w:rFonts w:ascii="Garamond" w:hAnsi="Garamond"/>
                <w:sz w:val="24"/>
                <w:szCs w:val="24"/>
              </w:rPr>
            </w:pPr>
            <w:r>
              <w:rPr>
                <w:rFonts w:ascii="Garamond" w:hAnsi="Garamond"/>
                <w:sz w:val="24"/>
                <w:szCs w:val="24"/>
              </w:rPr>
              <w:t xml:space="preserve">Possible </w:t>
            </w:r>
            <w:r w:rsidR="006573F9" w:rsidRPr="006573F9">
              <w:rPr>
                <w:rFonts w:ascii="Garamond" w:hAnsi="Garamond"/>
                <w:b/>
                <w:sz w:val="24"/>
                <w:szCs w:val="24"/>
              </w:rPr>
              <w:t>TOPIC SENTENCE</w:t>
            </w:r>
            <w:r w:rsidR="006573F9">
              <w:rPr>
                <w:rFonts w:ascii="Garamond" w:hAnsi="Garamond"/>
                <w:sz w:val="24"/>
                <w:szCs w:val="24"/>
              </w:rPr>
              <w:t xml:space="preserve"> </w:t>
            </w:r>
            <w:r>
              <w:rPr>
                <w:rFonts w:ascii="Garamond" w:hAnsi="Garamond"/>
                <w:sz w:val="24"/>
                <w:szCs w:val="24"/>
              </w:rPr>
              <w:t>Transitions:  To show chronological order</w:t>
            </w:r>
          </w:p>
        </w:tc>
        <w:bookmarkStart w:id="0" w:name="_GoBack"/>
        <w:bookmarkEnd w:id="0"/>
      </w:tr>
      <w:tr w:rsidR="00450317" w:rsidTr="00450317">
        <w:tc>
          <w:tcPr>
            <w:tcW w:w="4675" w:type="dxa"/>
          </w:tcPr>
          <w:p w:rsidR="00450317" w:rsidRDefault="00450317" w:rsidP="00450317">
            <w:pPr>
              <w:pStyle w:val="NoSpacing"/>
              <w:numPr>
                <w:ilvl w:val="0"/>
                <w:numId w:val="1"/>
              </w:numPr>
              <w:rPr>
                <w:rFonts w:ascii="Garamond" w:hAnsi="Garamond"/>
                <w:sz w:val="24"/>
                <w:szCs w:val="24"/>
              </w:rPr>
            </w:pPr>
            <w:r>
              <w:rPr>
                <w:rFonts w:ascii="Garamond" w:hAnsi="Garamond"/>
                <w:sz w:val="24"/>
                <w:szCs w:val="24"/>
              </w:rPr>
              <w:t>For example, for instance, to explain, in addition, furthermore</w:t>
            </w:r>
            <w:r w:rsidR="006573F9">
              <w:rPr>
                <w:rFonts w:ascii="Garamond" w:hAnsi="Garamond"/>
                <w:sz w:val="24"/>
                <w:szCs w:val="24"/>
              </w:rPr>
              <w:t>, the author stated, the character(s) in the text said</w:t>
            </w:r>
          </w:p>
          <w:p w:rsidR="00450317" w:rsidRDefault="00450317" w:rsidP="00450317">
            <w:pPr>
              <w:pStyle w:val="NoSpacing"/>
              <w:ind w:left="720"/>
              <w:rPr>
                <w:rFonts w:ascii="Garamond" w:hAnsi="Garamond"/>
                <w:sz w:val="24"/>
                <w:szCs w:val="24"/>
              </w:rPr>
            </w:pPr>
          </w:p>
          <w:p w:rsidR="00450317" w:rsidRDefault="00450317" w:rsidP="00450317">
            <w:pPr>
              <w:pStyle w:val="NoSpacing"/>
              <w:ind w:left="720"/>
              <w:rPr>
                <w:rFonts w:ascii="Garamond" w:hAnsi="Garamond"/>
                <w:sz w:val="24"/>
                <w:szCs w:val="24"/>
              </w:rPr>
            </w:pPr>
          </w:p>
          <w:p w:rsidR="00450317" w:rsidRDefault="00450317" w:rsidP="00450317">
            <w:pPr>
              <w:pStyle w:val="NoSpacing"/>
              <w:ind w:left="720"/>
              <w:rPr>
                <w:rFonts w:ascii="Garamond" w:hAnsi="Garamond"/>
                <w:sz w:val="24"/>
                <w:szCs w:val="24"/>
              </w:rPr>
            </w:pPr>
          </w:p>
          <w:p w:rsidR="00450317" w:rsidRDefault="00450317" w:rsidP="006573F9">
            <w:pPr>
              <w:pStyle w:val="NoSpacing"/>
              <w:rPr>
                <w:rFonts w:ascii="Garamond" w:hAnsi="Garamond"/>
                <w:sz w:val="24"/>
                <w:szCs w:val="24"/>
              </w:rPr>
            </w:pPr>
          </w:p>
          <w:p w:rsidR="00450317" w:rsidRDefault="00450317" w:rsidP="00450317">
            <w:pPr>
              <w:pStyle w:val="NoSpacing"/>
              <w:ind w:left="720"/>
              <w:rPr>
                <w:rFonts w:ascii="Garamond" w:hAnsi="Garamond"/>
                <w:sz w:val="24"/>
                <w:szCs w:val="24"/>
              </w:rPr>
            </w:pPr>
          </w:p>
        </w:tc>
        <w:tc>
          <w:tcPr>
            <w:tcW w:w="4675" w:type="dxa"/>
          </w:tcPr>
          <w:p w:rsidR="00450317" w:rsidRDefault="00DC527E" w:rsidP="00450317">
            <w:pPr>
              <w:pStyle w:val="NoSpacing"/>
              <w:rPr>
                <w:rFonts w:ascii="Garamond" w:hAnsi="Garamond"/>
                <w:sz w:val="24"/>
                <w:szCs w:val="24"/>
              </w:rPr>
            </w:pPr>
            <w:r>
              <w:rPr>
                <w:rFonts w:ascii="Garamond" w:hAnsi="Garamond"/>
                <w:sz w:val="24"/>
                <w:szCs w:val="24"/>
              </w:rPr>
              <w:t xml:space="preserve">Possible </w:t>
            </w:r>
            <w:r w:rsidRPr="00DC527E">
              <w:rPr>
                <w:rFonts w:ascii="Garamond" w:hAnsi="Garamond"/>
                <w:b/>
                <w:sz w:val="24"/>
                <w:szCs w:val="24"/>
              </w:rPr>
              <w:t>QUOTATION</w:t>
            </w:r>
            <w:r>
              <w:rPr>
                <w:rFonts w:ascii="Garamond" w:hAnsi="Garamond"/>
                <w:sz w:val="24"/>
                <w:szCs w:val="24"/>
              </w:rPr>
              <w:t xml:space="preserve"> Lead Ins:  To introduce </w:t>
            </w:r>
            <w:r w:rsidR="006573F9">
              <w:rPr>
                <w:rFonts w:ascii="Garamond" w:hAnsi="Garamond"/>
                <w:sz w:val="24"/>
                <w:szCs w:val="24"/>
              </w:rPr>
              <w:t>quotes/textual evidence</w:t>
            </w:r>
          </w:p>
        </w:tc>
      </w:tr>
      <w:tr w:rsidR="00450317" w:rsidTr="00450317">
        <w:tc>
          <w:tcPr>
            <w:tcW w:w="4675" w:type="dxa"/>
          </w:tcPr>
          <w:p w:rsidR="00450317" w:rsidRDefault="00450317" w:rsidP="00450317">
            <w:pPr>
              <w:pStyle w:val="NoSpacing"/>
              <w:numPr>
                <w:ilvl w:val="0"/>
                <w:numId w:val="1"/>
              </w:numPr>
              <w:rPr>
                <w:rFonts w:ascii="Garamond" w:hAnsi="Garamond"/>
                <w:sz w:val="24"/>
                <w:szCs w:val="24"/>
              </w:rPr>
            </w:pPr>
            <w:r>
              <w:rPr>
                <w:rFonts w:ascii="Garamond" w:hAnsi="Garamond"/>
                <w:sz w:val="24"/>
                <w:szCs w:val="24"/>
              </w:rPr>
              <w:t>To explicate, to explain, in support of th</w:t>
            </w:r>
            <w:r w:rsidR="006573F9">
              <w:rPr>
                <w:rFonts w:ascii="Garamond" w:hAnsi="Garamond"/>
                <w:sz w:val="24"/>
                <w:szCs w:val="24"/>
              </w:rPr>
              <w:t>e text</w:t>
            </w:r>
            <w:r>
              <w:rPr>
                <w:rFonts w:ascii="Garamond" w:hAnsi="Garamond"/>
                <w:sz w:val="24"/>
                <w:szCs w:val="24"/>
              </w:rPr>
              <w:t>, to sum up, to emphasize, to continue, as a result, to wrap up</w:t>
            </w:r>
            <w:r w:rsidR="006573F9">
              <w:rPr>
                <w:rFonts w:ascii="Garamond" w:hAnsi="Garamond"/>
                <w:sz w:val="24"/>
                <w:szCs w:val="24"/>
              </w:rPr>
              <w:t>, essentially, clearly, to clarify</w:t>
            </w:r>
          </w:p>
          <w:p w:rsidR="00450317" w:rsidRDefault="00450317" w:rsidP="00450317">
            <w:pPr>
              <w:pStyle w:val="NoSpacing"/>
              <w:rPr>
                <w:rFonts w:ascii="Garamond" w:hAnsi="Garamond"/>
                <w:sz w:val="24"/>
                <w:szCs w:val="24"/>
              </w:rPr>
            </w:pPr>
          </w:p>
          <w:p w:rsidR="00450317" w:rsidRDefault="00450317" w:rsidP="00450317">
            <w:pPr>
              <w:pStyle w:val="NoSpacing"/>
              <w:rPr>
                <w:rFonts w:ascii="Garamond" w:hAnsi="Garamond"/>
                <w:sz w:val="24"/>
                <w:szCs w:val="24"/>
              </w:rPr>
            </w:pPr>
          </w:p>
          <w:p w:rsidR="00450317" w:rsidRDefault="00450317" w:rsidP="00450317">
            <w:pPr>
              <w:pStyle w:val="NoSpacing"/>
              <w:rPr>
                <w:rFonts w:ascii="Garamond" w:hAnsi="Garamond"/>
                <w:sz w:val="24"/>
                <w:szCs w:val="24"/>
              </w:rPr>
            </w:pPr>
          </w:p>
          <w:p w:rsidR="00450317" w:rsidRDefault="00450317" w:rsidP="00450317">
            <w:pPr>
              <w:pStyle w:val="NoSpacing"/>
              <w:rPr>
                <w:rFonts w:ascii="Garamond" w:hAnsi="Garamond"/>
                <w:sz w:val="24"/>
                <w:szCs w:val="24"/>
              </w:rPr>
            </w:pPr>
          </w:p>
        </w:tc>
        <w:tc>
          <w:tcPr>
            <w:tcW w:w="4675" w:type="dxa"/>
          </w:tcPr>
          <w:p w:rsidR="00450317" w:rsidRDefault="00DC527E" w:rsidP="00450317">
            <w:pPr>
              <w:pStyle w:val="NoSpacing"/>
              <w:rPr>
                <w:rFonts w:ascii="Garamond" w:hAnsi="Garamond"/>
                <w:sz w:val="24"/>
                <w:szCs w:val="24"/>
              </w:rPr>
            </w:pPr>
            <w:r>
              <w:rPr>
                <w:rFonts w:ascii="Garamond" w:hAnsi="Garamond"/>
                <w:sz w:val="24"/>
                <w:szCs w:val="24"/>
              </w:rPr>
              <w:t xml:space="preserve">Possible </w:t>
            </w:r>
            <w:r w:rsidRPr="00DC527E">
              <w:rPr>
                <w:rFonts w:ascii="Garamond" w:hAnsi="Garamond"/>
                <w:b/>
                <w:sz w:val="24"/>
                <w:szCs w:val="24"/>
              </w:rPr>
              <w:t>EXPLANATION</w:t>
            </w:r>
            <w:r>
              <w:rPr>
                <w:rFonts w:ascii="Garamond" w:hAnsi="Garamond"/>
                <w:sz w:val="24"/>
                <w:szCs w:val="24"/>
              </w:rPr>
              <w:t xml:space="preserve"> Transitions:  To wrap up body paragraph</w:t>
            </w:r>
          </w:p>
        </w:tc>
      </w:tr>
      <w:tr w:rsidR="00450317" w:rsidTr="00450317">
        <w:tc>
          <w:tcPr>
            <w:tcW w:w="4675" w:type="dxa"/>
          </w:tcPr>
          <w:p w:rsidR="00DC527E" w:rsidRDefault="00450317" w:rsidP="00450317">
            <w:pPr>
              <w:pStyle w:val="NoSpacing"/>
              <w:numPr>
                <w:ilvl w:val="0"/>
                <w:numId w:val="1"/>
              </w:numPr>
              <w:rPr>
                <w:rFonts w:ascii="Garamond" w:hAnsi="Garamond"/>
                <w:sz w:val="24"/>
                <w:szCs w:val="24"/>
              </w:rPr>
            </w:pPr>
            <w:r>
              <w:rPr>
                <w:rFonts w:ascii="Garamond" w:hAnsi="Garamond"/>
                <w:sz w:val="24"/>
                <w:szCs w:val="24"/>
              </w:rPr>
              <w:t xml:space="preserve">For this reason, thus, therefore, finally, unquestionably, examination of the evidence suggests, taking all things into </w:t>
            </w:r>
          </w:p>
          <w:p w:rsidR="00450317" w:rsidRDefault="00450317" w:rsidP="00DC527E">
            <w:pPr>
              <w:pStyle w:val="NoSpacing"/>
              <w:ind w:left="720"/>
              <w:rPr>
                <w:rFonts w:ascii="Garamond" w:hAnsi="Garamond"/>
                <w:sz w:val="24"/>
                <w:szCs w:val="24"/>
              </w:rPr>
            </w:pPr>
            <w:r>
              <w:rPr>
                <w:rFonts w:ascii="Garamond" w:hAnsi="Garamond"/>
                <w:sz w:val="24"/>
                <w:szCs w:val="24"/>
              </w:rPr>
              <w:t>consideration, in summary</w:t>
            </w:r>
            <w:r w:rsidR="00DC527E">
              <w:rPr>
                <w:rFonts w:ascii="Garamond" w:hAnsi="Garamond"/>
                <w:sz w:val="24"/>
                <w:szCs w:val="24"/>
              </w:rPr>
              <w:t>, to clarify</w:t>
            </w:r>
            <w:proofErr w:type="gramStart"/>
            <w:r w:rsidR="006573F9">
              <w:rPr>
                <w:rFonts w:ascii="Garamond" w:hAnsi="Garamond"/>
                <w:sz w:val="24"/>
                <w:szCs w:val="24"/>
              </w:rPr>
              <w:t>, in essence, altogether</w:t>
            </w:r>
            <w:proofErr w:type="gramEnd"/>
          </w:p>
          <w:p w:rsidR="00DC527E" w:rsidRDefault="00DC527E" w:rsidP="00DC527E">
            <w:pPr>
              <w:pStyle w:val="NoSpacing"/>
              <w:rPr>
                <w:rFonts w:ascii="Garamond" w:hAnsi="Garamond"/>
                <w:sz w:val="24"/>
                <w:szCs w:val="24"/>
              </w:rPr>
            </w:pPr>
          </w:p>
          <w:p w:rsidR="00DC527E" w:rsidRDefault="00DC527E" w:rsidP="00DC527E">
            <w:pPr>
              <w:pStyle w:val="NoSpacing"/>
              <w:rPr>
                <w:rFonts w:ascii="Garamond" w:hAnsi="Garamond"/>
                <w:sz w:val="24"/>
                <w:szCs w:val="24"/>
              </w:rPr>
            </w:pPr>
          </w:p>
          <w:p w:rsidR="00DC527E" w:rsidRDefault="00DC527E" w:rsidP="00DC527E">
            <w:pPr>
              <w:pStyle w:val="NoSpacing"/>
              <w:rPr>
                <w:rFonts w:ascii="Garamond" w:hAnsi="Garamond"/>
                <w:sz w:val="24"/>
                <w:szCs w:val="24"/>
              </w:rPr>
            </w:pPr>
          </w:p>
        </w:tc>
        <w:tc>
          <w:tcPr>
            <w:tcW w:w="4675" w:type="dxa"/>
          </w:tcPr>
          <w:p w:rsidR="00450317" w:rsidRDefault="00DC527E" w:rsidP="00450317">
            <w:pPr>
              <w:pStyle w:val="NoSpacing"/>
              <w:rPr>
                <w:rFonts w:ascii="Garamond" w:hAnsi="Garamond"/>
                <w:sz w:val="24"/>
                <w:szCs w:val="24"/>
              </w:rPr>
            </w:pPr>
            <w:r>
              <w:rPr>
                <w:rFonts w:ascii="Garamond" w:hAnsi="Garamond"/>
                <w:sz w:val="24"/>
                <w:szCs w:val="24"/>
              </w:rPr>
              <w:t>To</w:t>
            </w:r>
            <w:r w:rsidR="006573F9">
              <w:rPr>
                <w:rFonts w:ascii="Garamond" w:hAnsi="Garamond"/>
                <w:sz w:val="24"/>
                <w:szCs w:val="24"/>
              </w:rPr>
              <w:t xml:space="preserve"> </w:t>
            </w:r>
            <w:proofErr w:type="gramStart"/>
            <w:r w:rsidR="006573F9">
              <w:rPr>
                <w:rFonts w:ascii="Garamond" w:hAnsi="Garamond"/>
                <w:sz w:val="24"/>
                <w:szCs w:val="24"/>
              </w:rPr>
              <w:t>come to</w:t>
            </w:r>
            <w:r>
              <w:rPr>
                <w:rFonts w:ascii="Garamond" w:hAnsi="Garamond"/>
                <w:sz w:val="24"/>
                <w:szCs w:val="24"/>
              </w:rPr>
              <w:t xml:space="preserve"> a </w:t>
            </w:r>
            <w:r w:rsidRPr="006573F9">
              <w:rPr>
                <w:rFonts w:ascii="Garamond" w:hAnsi="Garamond"/>
                <w:b/>
                <w:sz w:val="24"/>
                <w:szCs w:val="24"/>
              </w:rPr>
              <w:t>C</w:t>
            </w:r>
            <w:r w:rsidR="006573F9" w:rsidRPr="006573F9">
              <w:rPr>
                <w:rFonts w:ascii="Garamond" w:hAnsi="Garamond"/>
                <w:b/>
                <w:sz w:val="24"/>
                <w:szCs w:val="24"/>
              </w:rPr>
              <w:t>ONCLUSION</w:t>
            </w:r>
            <w:proofErr w:type="gramEnd"/>
          </w:p>
        </w:tc>
      </w:tr>
      <w:tr w:rsidR="00450317" w:rsidTr="00450317">
        <w:tc>
          <w:tcPr>
            <w:tcW w:w="4675" w:type="dxa"/>
          </w:tcPr>
          <w:p w:rsidR="00450317" w:rsidRDefault="00450317" w:rsidP="00450317">
            <w:pPr>
              <w:pStyle w:val="NoSpacing"/>
              <w:numPr>
                <w:ilvl w:val="0"/>
                <w:numId w:val="1"/>
              </w:numPr>
              <w:rPr>
                <w:rFonts w:ascii="Garamond" w:hAnsi="Garamond"/>
                <w:sz w:val="24"/>
                <w:szCs w:val="24"/>
              </w:rPr>
            </w:pPr>
            <w:r>
              <w:rPr>
                <w:rFonts w:ascii="Garamond" w:hAnsi="Garamond"/>
                <w:sz w:val="24"/>
                <w:szCs w:val="24"/>
              </w:rPr>
              <w:t>Nevertheless, on the other hand, however, on the contrary, yet, still, despite, similarly, in the same way, equally important, though</w:t>
            </w:r>
          </w:p>
          <w:p w:rsidR="00DC527E" w:rsidRDefault="00DC527E" w:rsidP="00DC527E">
            <w:pPr>
              <w:pStyle w:val="NoSpacing"/>
              <w:rPr>
                <w:rFonts w:ascii="Garamond" w:hAnsi="Garamond"/>
                <w:sz w:val="24"/>
                <w:szCs w:val="24"/>
              </w:rPr>
            </w:pPr>
          </w:p>
          <w:p w:rsidR="00DC527E" w:rsidRDefault="00DC527E" w:rsidP="00DC527E">
            <w:pPr>
              <w:pStyle w:val="NoSpacing"/>
              <w:rPr>
                <w:rFonts w:ascii="Garamond" w:hAnsi="Garamond"/>
                <w:sz w:val="24"/>
                <w:szCs w:val="24"/>
              </w:rPr>
            </w:pPr>
          </w:p>
          <w:p w:rsidR="00DC527E" w:rsidRDefault="00DC527E" w:rsidP="00DC527E">
            <w:pPr>
              <w:pStyle w:val="NoSpacing"/>
              <w:rPr>
                <w:rFonts w:ascii="Garamond" w:hAnsi="Garamond"/>
                <w:sz w:val="24"/>
                <w:szCs w:val="24"/>
              </w:rPr>
            </w:pPr>
          </w:p>
          <w:p w:rsidR="00DC527E" w:rsidRDefault="00DC527E" w:rsidP="00DC527E">
            <w:pPr>
              <w:pStyle w:val="NoSpacing"/>
              <w:rPr>
                <w:rFonts w:ascii="Garamond" w:hAnsi="Garamond"/>
                <w:sz w:val="24"/>
                <w:szCs w:val="24"/>
              </w:rPr>
            </w:pPr>
          </w:p>
        </w:tc>
        <w:tc>
          <w:tcPr>
            <w:tcW w:w="4675" w:type="dxa"/>
          </w:tcPr>
          <w:p w:rsidR="00450317" w:rsidRDefault="00DC527E" w:rsidP="00450317">
            <w:pPr>
              <w:pStyle w:val="NoSpacing"/>
              <w:rPr>
                <w:rFonts w:ascii="Garamond" w:hAnsi="Garamond"/>
                <w:sz w:val="24"/>
                <w:szCs w:val="24"/>
              </w:rPr>
            </w:pPr>
            <w:r>
              <w:rPr>
                <w:rFonts w:ascii="Garamond" w:hAnsi="Garamond"/>
                <w:sz w:val="24"/>
                <w:szCs w:val="24"/>
              </w:rPr>
              <w:t xml:space="preserve">To show </w:t>
            </w:r>
            <w:r w:rsidR="006573F9">
              <w:rPr>
                <w:rFonts w:ascii="Garamond" w:hAnsi="Garamond"/>
                <w:sz w:val="24"/>
                <w:szCs w:val="24"/>
              </w:rPr>
              <w:t>c</w:t>
            </w:r>
            <w:r>
              <w:rPr>
                <w:rFonts w:ascii="Garamond" w:hAnsi="Garamond"/>
                <w:sz w:val="24"/>
                <w:szCs w:val="24"/>
              </w:rPr>
              <w:t xml:space="preserve">omparison or </w:t>
            </w:r>
            <w:r w:rsidR="006573F9">
              <w:rPr>
                <w:rFonts w:ascii="Garamond" w:hAnsi="Garamond"/>
                <w:sz w:val="24"/>
                <w:szCs w:val="24"/>
              </w:rPr>
              <w:t>c</w:t>
            </w:r>
            <w:r>
              <w:rPr>
                <w:rFonts w:ascii="Garamond" w:hAnsi="Garamond"/>
                <w:sz w:val="24"/>
                <w:szCs w:val="24"/>
              </w:rPr>
              <w:t>ontrast</w:t>
            </w:r>
          </w:p>
        </w:tc>
      </w:tr>
      <w:tr w:rsidR="00DC527E" w:rsidTr="00450317">
        <w:tc>
          <w:tcPr>
            <w:tcW w:w="4675" w:type="dxa"/>
          </w:tcPr>
          <w:p w:rsidR="00DC527E" w:rsidRDefault="00DC527E" w:rsidP="00450317">
            <w:pPr>
              <w:pStyle w:val="NoSpacing"/>
              <w:numPr>
                <w:ilvl w:val="0"/>
                <w:numId w:val="1"/>
              </w:numPr>
              <w:rPr>
                <w:rFonts w:ascii="Garamond" w:hAnsi="Garamond"/>
                <w:sz w:val="24"/>
                <w:szCs w:val="24"/>
              </w:rPr>
            </w:pPr>
            <w:r>
              <w:rPr>
                <w:rFonts w:ascii="Garamond" w:hAnsi="Garamond"/>
                <w:sz w:val="24"/>
                <w:szCs w:val="24"/>
              </w:rPr>
              <w:lastRenderedPageBreak/>
              <w:t>Show, state, explain, display, express, illustrate, reveal, verify, communicate, portray, explicate, demonstrate, emphasize, confirm, justify, admit, describe, announce, expose, unveil, clarify</w:t>
            </w:r>
          </w:p>
          <w:p w:rsidR="00DC527E" w:rsidRDefault="00DC527E" w:rsidP="00DC527E">
            <w:pPr>
              <w:pStyle w:val="NoSpacing"/>
              <w:rPr>
                <w:rFonts w:ascii="Garamond" w:hAnsi="Garamond"/>
                <w:sz w:val="24"/>
                <w:szCs w:val="24"/>
              </w:rPr>
            </w:pPr>
          </w:p>
          <w:p w:rsidR="00DC527E" w:rsidRDefault="00DC527E" w:rsidP="00DC527E">
            <w:pPr>
              <w:pStyle w:val="NoSpacing"/>
              <w:rPr>
                <w:rFonts w:ascii="Garamond" w:hAnsi="Garamond"/>
                <w:sz w:val="24"/>
                <w:szCs w:val="24"/>
              </w:rPr>
            </w:pPr>
          </w:p>
        </w:tc>
        <w:tc>
          <w:tcPr>
            <w:tcW w:w="4675" w:type="dxa"/>
          </w:tcPr>
          <w:p w:rsidR="00DC527E" w:rsidRDefault="00DC527E" w:rsidP="00450317">
            <w:pPr>
              <w:pStyle w:val="NoSpacing"/>
              <w:rPr>
                <w:rFonts w:ascii="Garamond" w:hAnsi="Garamond"/>
                <w:sz w:val="24"/>
                <w:szCs w:val="24"/>
              </w:rPr>
            </w:pPr>
            <w:r>
              <w:rPr>
                <w:rFonts w:ascii="Garamond" w:hAnsi="Garamond"/>
                <w:sz w:val="24"/>
                <w:szCs w:val="24"/>
              </w:rPr>
              <w:t>Explanation Verbs</w:t>
            </w:r>
          </w:p>
        </w:tc>
      </w:tr>
    </w:tbl>
    <w:p w:rsidR="00450317" w:rsidRPr="00450317" w:rsidRDefault="00450317" w:rsidP="00450317">
      <w:pPr>
        <w:pStyle w:val="NoSpacing"/>
        <w:rPr>
          <w:rFonts w:ascii="Garamond" w:hAnsi="Garamond"/>
          <w:sz w:val="24"/>
          <w:szCs w:val="24"/>
        </w:rPr>
      </w:pPr>
    </w:p>
    <w:sectPr w:rsidR="00450317" w:rsidRPr="004503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27E" w:rsidRDefault="00DC527E" w:rsidP="00DC527E">
      <w:pPr>
        <w:spacing w:after="0" w:line="240" w:lineRule="auto"/>
      </w:pPr>
      <w:r>
        <w:separator/>
      </w:r>
    </w:p>
  </w:endnote>
  <w:endnote w:type="continuationSeparator" w:id="0">
    <w:p w:rsidR="00DC527E" w:rsidRDefault="00DC527E" w:rsidP="00D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7E" w:rsidRPr="00DC527E" w:rsidRDefault="00DC527E" w:rsidP="00DC527E">
    <w:pPr>
      <w:pStyle w:val="Footer"/>
      <w:jc w:val="right"/>
      <w:rPr>
        <w:rFonts w:ascii="Garamond" w:hAnsi="Garamond"/>
      </w:rPr>
    </w:pPr>
    <w:r>
      <w:rPr>
        <w:rFonts w:ascii="Garamond" w:hAnsi="Garamond"/>
      </w:rPr>
      <w:t xml:space="preserve">Turn Over </w:t>
    </w:r>
    <w:r w:rsidRPr="00DC527E">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27E" w:rsidRDefault="00DC527E" w:rsidP="00DC527E">
      <w:pPr>
        <w:spacing w:after="0" w:line="240" w:lineRule="auto"/>
      </w:pPr>
      <w:r>
        <w:separator/>
      </w:r>
    </w:p>
  </w:footnote>
  <w:footnote w:type="continuationSeparator" w:id="0">
    <w:p w:rsidR="00DC527E" w:rsidRDefault="00DC527E" w:rsidP="00DC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7E" w:rsidRPr="00DC527E" w:rsidRDefault="00DC527E" w:rsidP="00DC527E">
    <w:pPr>
      <w:pStyle w:val="Header"/>
      <w:jc w:val="right"/>
      <w:rPr>
        <w:rFonts w:ascii="Garamond" w:hAnsi="Garamond"/>
      </w:rPr>
    </w:pPr>
    <w:r>
      <w:rPr>
        <w:rFonts w:ascii="Garamond" w:hAnsi="Garamond"/>
      </w:rPr>
      <w:t>Literature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C557D"/>
    <w:multiLevelType w:val="hybridMultilevel"/>
    <w:tmpl w:val="9B688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17"/>
    <w:rsid w:val="00450317"/>
    <w:rsid w:val="005B34AA"/>
    <w:rsid w:val="006573F9"/>
    <w:rsid w:val="00DC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5C1D"/>
  <w15:chartTrackingRefBased/>
  <w15:docId w15:val="{41440E82-1104-4376-9D50-7B307DFD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317"/>
    <w:pPr>
      <w:spacing w:after="0" w:line="240" w:lineRule="auto"/>
    </w:pPr>
  </w:style>
  <w:style w:type="table" w:styleId="TableGrid">
    <w:name w:val="Table Grid"/>
    <w:basedOn w:val="TableNormal"/>
    <w:uiPriority w:val="39"/>
    <w:rsid w:val="0045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7E"/>
  </w:style>
  <w:style w:type="paragraph" w:styleId="Footer">
    <w:name w:val="footer"/>
    <w:basedOn w:val="Normal"/>
    <w:link w:val="FooterChar"/>
    <w:uiPriority w:val="99"/>
    <w:unhideWhenUsed/>
    <w:rsid w:val="00DC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2019-09-26T16:15:00Z</dcterms:created>
  <dcterms:modified xsi:type="dcterms:W3CDTF">2019-09-26T16:15:00Z</dcterms:modified>
</cp:coreProperties>
</file>