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08D3" w14:textId="77777777" w:rsidR="003D5288" w:rsidRDefault="003D5288" w:rsidP="003D5288">
      <w:pPr>
        <w:pStyle w:val="NoSpacing"/>
        <w:jc w:val="center"/>
        <w:rPr>
          <w:rFonts w:ascii="Garamond" w:hAnsi="Garamond"/>
          <w:i/>
        </w:rPr>
      </w:pPr>
      <w:r>
        <w:rPr>
          <w:rFonts w:ascii="Garamond" w:hAnsi="Garamond"/>
        </w:rPr>
        <w:t xml:space="preserve">Sophomore Honors English Unit Plan: </w:t>
      </w:r>
      <w:r w:rsidR="003932C7">
        <w:rPr>
          <w:rFonts w:ascii="Garamond" w:hAnsi="Garamond"/>
        </w:rPr>
        <w:t xml:space="preserve">Richard Wright’s </w:t>
      </w:r>
      <w:r w:rsidR="003932C7" w:rsidRPr="003932C7">
        <w:rPr>
          <w:rFonts w:ascii="Garamond" w:hAnsi="Garamond"/>
          <w:i/>
        </w:rPr>
        <w:t>Black Boy</w:t>
      </w:r>
    </w:p>
    <w:p w14:paraId="03C66717" w14:textId="77777777" w:rsidR="003D5288" w:rsidRDefault="003D5288" w:rsidP="003D5288">
      <w:pPr>
        <w:pStyle w:val="NoSpacing"/>
        <w:jc w:val="center"/>
        <w:rPr>
          <w:rFonts w:ascii="Garamond" w:hAnsi="Garamond"/>
          <w:i/>
        </w:rPr>
      </w:pPr>
    </w:p>
    <w:p w14:paraId="6D6D8810" w14:textId="77777777" w:rsidR="003D5288" w:rsidRDefault="003D5288" w:rsidP="003D5288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Summary:</w:t>
      </w:r>
      <w:r>
        <w:rPr>
          <w:rFonts w:ascii="Garamond" w:hAnsi="Garamond"/>
        </w:rPr>
        <w:t xml:space="preserve">  Students will engage in pre-reading, during reading, and post-reading activities</w:t>
      </w:r>
      <w:r w:rsidR="003932C7">
        <w:rPr>
          <w:rFonts w:ascii="Garamond" w:hAnsi="Garamond"/>
        </w:rPr>
        <w:t xml:space="preserve"> pertaining to the autobiography Black Boy by Richard Wright</w:t>
      </w:r>
      <w:r>
        <w:rPr>
          <w:rFonts w:ascii="Garamond" w:hAnsi="Garamond"/>
        </w:rPr>
        <w:t xml:space="preserve">.  Students will learn </w:t>
      </w:r>
      <w:r w:rsidR="003932C7">
        <w:rPr>
          <w:rFonts w:ascii="Garamond" w:hAnsi="Garamond"/>
        </w:rPr>
        <w:t>about the Jim Crow Era, read the autobiography, and write an autobiographical incident on an experience from their past.</w:t>
      </w:r>
      <w:bookmarkStart w:id="0" w:name="_GoBack"/>
      <w:bookmarkEnd w:id="0"/>
    </w:p>
    <w:p w14:paraId="1E09BC2F" w14:textId="77777777" w:rsidR="003932C7" w:rsidRDefault="003932C7" w:rsidP="003D5288">
      <w:pPr>
        <w:pStyle w:val="NoSpacing"/>
        <w:rPr>
          <w:rFonts w:ascii="Garamond" w:hAnsi="Garamond"/>
        </w:rPr>
      </w:pPr>
    </w:p>
    <w:p w14:paraId="76851FFA" w14:textId="77777777" w:rsidR="003D5288" w:rsidRDefault="003D5288" w:rsidP="003D5288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Purpose:</w:t>
      </w:r>
      <w:r>
        <w:rPr>
          <w:rFonts w:ascii="Garamond" w:hAnsi="Garamond"/>
        </w:rPr>
        <w:t xml:space="preserve">  The purpose of this unit is for students to develop an understanding of the </w:t>
      </w:r>
      <w:r w:rsidR="00986065">
        <w:rPr>
          <w:rFonts w:ascii="Garamond" w:hAnsi="Garamond"/>
        </w:rPr>
        <w:t>autobiography, connotation &amp; denotation as it relates to author tone, difficult vocabulary, racism, &amp; the Jim Crow Era, the stereotypes afforded African Americans during the early to mid-1900’s, and the values of the author vs. the values students themselves have.</w:t>
      </w:r>
    </w:p>
    <w:p w14:paraId="6C28AFE8" w14:textId="77777777" w:rsidR="003D5288" w:rsidRDefault="003D5288" w:rsidP="003D5288">
      <w:pPr>
        <w:pStyle w:val="NoSpacing"/>
        <w:rPr>
          <w:rFonts w:ascii="Garamond" w:hAnsi="Garamond"/>
        </w:rPr>
      </w:pPr>
    </w:p>
    <w:p w14:paraId="6FF13B4F" w14:textId="77777777" w:rsidR="003D5288" w:rsidRPr="007F20F7" w:rsidRDefault="003D5288" w:rsidP="003D5288">
      <w:pPr>
        <w:pStyle w:val="NoSpacing"/>
        <w:rPr>
          <w:rFonts w:ascii="Garamond" w:hAnsi="Garamond"/>
          <w:b/>
        </w:rPr>
      </w:pPr>
      <w:r w:rsidRPr="007F20F7">
        <w:rPr>
          <w:rFonts w:ascii="Garamond" w:hAnsi="Garamond"/>
          <w:b/>
        </w:rPr>
        <w:t>Essential Questions:</w:t>
      </w:r>
    </w:p>
    <w:p w14:paraId="147D326C" w14:textId="77777777" w:rsidR="003D5288" w:rsidRPr="00986065" w:rsidRDefault="00986065" w:rsidP="00986065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Why is it important for people from varying cultures to write autobiographies about their experiences?</w:t>
      </w:r>
    </w:p>
    <w:p w14:paraId="2204224B" w14:textId="77777777" w:rsidR="00986065" w:rsidRPr="00986065" w:rsidRDefault="00986065" w:rsidP="00986065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In the face of adversity, what causes some individuals to rise from the ashes while others fail?</w:t>
      </w:r>
    </w:p>
    <w:p w14:paraId="13A44E8C" w14:textId="77777777" w:rsidR="00986065" w:rsidRPr="00986065" w:rsidRDefault="00986065" w:rsidP="00986065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How is the culture we live in important to our identity?</w:t>
      </w:r>
    </w:p>
    <w:p w14:paraId="21660649" w14:textId="77777777" w:rsidR="00986065" w:rsidRPr="003D5288" w:rsidRDefault="00986065" w:rsidP="00986065">
      <w:pPr>
        <w:pStyle w:val="NoSpacing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What is the importance of using literary devices like tone when you’re writing?</w:t>
      </w:r>
    </w:p>
    <w:p w14:paraId="620BE58D" w14:textId="77777777" w:rsidR="003D5288" w:rsidRPr="004D3F94" w:rsidRDefault="003D5288" w:rsidP="003D5288">
      <w:pPr>
        <w:pStyle w:val="NoSpacing"/>
        <w:ind w:left="720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:rsidRPr="004D3F94" w14:paraId="627252A7" w14:textId="77777777" w:rsidTr="003D5288">
        <w:tc>
          <w:tcPr>
            <w:tcW w:w="4428" w:type="dxa"/>
          </w:tcPr>
          <w:p w14:paraId="7D72338D" w14:textId="77777777" w:rsidR="003D5288" w:rsidRPr="004D3F94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Pre-Reading Assignments &amp; Activities</w:t>
            </w:r>
          </w:p>
        </w:tc>
        <w:tc>
          <w:tcPr>
            <w:tcW w:w="4428" w:type="dxa"/>
          </w:tcPr>
          <w:p w14:paraId="2130A68E" w14:textId="77777777" w:rsidR="003D5288" w:rsidRPr="004D3F94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Formative</w:t>
            </w:r>
            <w:r>
              <w:rPr>
                <w:rFonts w:ascii="Garamond" w:hAnsi="Garamond"/>
                <w:b/>
              </w:rPr>
              <w:t xml:space="preserve"> &amp; Summative Assessments</w:t>
            </w:r>
          </w:p>
        </w:tc>
      </w:tr>
      <w:tr w:rsidR="003D5288" w14:paraId="64093EBA" w14:textId="77777777" w:rsidTr="003D5288">
        <w:tc>
          <w:tcPr>
            <w:tcW w:w="4428" w:type="dxa"/>
          </w:tcPr>
          <w:p w14:paraId="56D9ABEE" w14:textId="77777777" w:rsidR="003D5288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Jim Crow Era Power Point Notes</w:t>
            </w:r>
          </w:p>
          <w:p w14:paraId="77A5AC70" w14:textId="6842CDA0" w:rsidR="00130815" w:rsidRDefault="00130815" w:rsidP="00130815">
            <w:pPr>
              <w:pStyle w:val="NoSpacing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Jim Crow Genesis &amp; Background</w:t>
            </w:r>
            <w:r w:rsidR="00736622">
              <w:rPr>
                <w:rFonts w:ascii="Garamond" w:hAnsi="Garamond"/>
              </w:rPr>
              <w:t xml:space="preserve">:  Clip from </w:t>
            </w:r>
            <w:r w:rsidR="00736622" w:rsidRPr="00736622">
              <w:rPr>
                <w:rFonts w:ascii="Garamond" w:hAnsi="Garamond"/>
                <w:i/>
              </w:rPr>
              <w:t>The Great Debaters</w:t>
            </w:r>
          </w:p>
          <w:p w14:paraId="29D542DE" w14:textId="77777777" w:rsidR="00130815" w:rsidRDefault="00130815" w:rsidP="00130815">
            <w:pPr>
              <w:pStyle w:val="NoSpacing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Black Face &amp; Bamboozled</w:t>
            </w:r>
          </w:p>
          <w:p w14:paraId="757313FD" w14:textId="77777777" w:rsidR="00130815" w:rsidRDefault="00130815" w:rsidP="00130815">
            <w:pPr>
              <w:pStyle w:val="NoSpacing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Emmett Till:  Video of cousin’s account</w:t>
            </w:r>
          </w:p>
        </w:tc>
        <w:tc>
          <w:tcPr>
            <w:tcW w:w="4428" w:type="dxa"/>
          </w:tcPr>
          <w:p w14:paraId="5AD2CCD7" w14:textId="77777777" w:rsidR="003D5288" w:rsidRDefault="00130815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three class participation/class work grades, students will take power point notes on the bulleted topics, watch clips, view pictures, and engage in discussions on the Jim Crow Era</w:t>
            </w:r>
          </w:p>
        </w:tc>
      </w:tr>
      <w:tr w:rsidR="00F71C95" w14:paraId="272A4DC7" w14:textId="77777777" w:rsidTr="003D5288">
        <w:tc>
          <w:tcPr>
            <w:tcW w:w="4428" w:type="dxa"/>
          </w:tcPr>
          <w:p w14:paraId="6436E564" w14:textId="1CF69433" w:rsidR="00F71C95" w:rsidRDefault="00F71C9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Jim Crow Reflection</w:t>
            </w:r>
          </w:p>
        </w:tc>
        <w:tc>
          <w:tcPr>
            <w:tcW w:w="4428" w:type="dxa"/>
          </w:tcPr>
          <w:p w14:paraId="290B0778" w14:textId="0D63AC11" w:rsidR="00F71C95" w:rsidRDefault="00F71C95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 summative assessment and from the perspective of an African American living during the Jim Crow Era, students will reflect on their character’s experiences in the racist south</w:t>
            </w:r>
          </w:p>
        </w:tc>
      </w:tr>
      <w:tr w:rsidR="003D5288" w14:paraId="0F7C5EC0" w14:textId="77777777" w:rsidTr="003D5288">
        <w:tc>
          <w:tcPr>
            <w:tcW w:w="4428" w:type="dxa"/>
          </w:tcPr>
          <w:p w14:paraId="51B8519E" w14:textId="77777777" w:rsidR="003D5288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Connotation, Denotation, &amp; Tone Activity</w:t>
            </w:r>
          </w:p>
        </w:tc>
        <w:tc>
          <w:tcPr>
            <w:tcW w:w="4428" w:type="dxa"/>
          </w:tcPr>
          <w:p w14:paraId="271FF164" w14:textId="77777777" w:rsidR="003D5288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two CP/CW grades, students learn about connotation, denotation, &amp; tone through worksheets and class discussions</w:t>
            </w:r>
          </w:p>
        </w:tc>
      </w:tr>
      <w:tr w:rsidR="003D5288" w14:paraId="4EEF477A" w14:textId="77777777" w:rsidTr="003D5288">
        <w:tc>
          <w:tcPr>
            <w:tcW w:w="4428" w:type="dxa"/>
          </w:tcPr>
          <w:p w14:paraId="314BA1ED" w14:textId="77777777" w:rsidR="003D5288" w:rsidRDefault="00130815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 Activity:  Julian Curry on the use of the “N” word</w:t>
            </w:r>
          </w:p>
        </w:tc>
        <w:tc>
          <w:tcPr>
            <w:tcW w:w="4428" w:type="dxa"/>
          </w:tcPr>
          <w:p w14:paraId="3D8FC116" w14:textId="77777777" w:rsidR="003D5288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CP/CW grade, students will actively read the Julian Curry poem using the I’s &amp;/or C’s method, reflect on the use of the “N” word, and view the poem</w:t>
            </w:r>
          </w:p>
        </w:tc>
      </w:tr>
      <w:tr w:rsidR="00130815" w14:paraId="2B1A5E55" w14:textId="77777777" w:rsidTr="003D5288">
        <w:tc>
          <w:tcPr>
            <w:tcW w:w="4428" w:type="dxa"/>
          </w:tcPr>
          <w:p w14:paraId="4C95EF08" w14:textId="77777777" w:rsidR="00130815" w:rsidRDefault="00130815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Article on Spike Lee’s </w:t>
            </w:r>
            <w:r w:rsidRPr="00130815">
              <w:rPr>
                <w:rFonts w:ascii="Garamond" w:hAnsi="Garamond"/>
                <w:i/>
              </w:rPr>
              <w:t>Do the Right Thing</w:t>
            </w:r>
          </w:p>
        </w:tc>
        <w:tc>
          <w:tcPr>
            <w:tcW w:w="4428" w:type="dxa"/>
          </w:tcPr>
          <w:p w14:paraId="2EFFEC56" w14:textId="77777777" w:rsidR="00130815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a homework grade, students will actively read an article on Spike Lee’s </w:t>
            </w:r>
            <w:r w:rsidRPr="00130815">
              <w:rPr>
                <w:rFonts w:ascii="Garamond" w:hAnsi="Garamond"/>
                <w:i/>
              </w:rPr>
              <w:t>Do the Right Thing</w:t>
            </w:r>
            <w:r>
              <w:rPr>
                <w:rFonts w:ascii="Garamond" w:hAnsi="Garamond"/>
              </w:rPr>
              <w:t xml:space="preserve"> using the I’s &amp;/or C’s Method</w:t>
            </w:r>
          </w:p>
        </w:tc>
      </w:tr>
      <w:tr w:rsidR="00130815" w14:paraId="0B2D28A0" w14:textId="77777777" w:rsidTr="003D5288">
        <w:tc>
          <w:tcPr>
            <w:tcW w:w="4428" w:type="dxa"/>
          </w:tcPr>
          <w:p w14:paraId="2DA1BA79" w14:textId="77777777" w:rsidR="00130815" w:rsidRDefault="00130815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Stereotypes:  Clips, Activity, &amp; Discussion</w:t>
            </w:r>
          </w:p>
        </w:tc>
        <w:tc>
          <w:tcPr>
            <w:tcW w:w="4428" w:type="dxa"/>
          </w:tcPr>
          <w:p w14:paraId="307B7466" w14:textId="77777777" w:rsidR="00130815" w:rsidRDefault="0013081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a CP/CW grade, students will learn the dictionary definition of stereotype, discuss the implications of judging people based on stereotypes, and watch a clip from Spike Lee’s </w:t>
            </w:r>
            <w:r w:rsidRPr="00130815">
              <w:rPr>
                <w:rFonts w:ascii="Garamond" w:hAnsi="Garamond"/>
                <w:i/>
              </w:rPr>
              <w:t xml:space="preserve">Do the Right Thing </w:t>
            </w:r>
            <w:r>
              <w:rPr>
                <w:rFonts w:ascii="Garamond" w:hAnsi="Garamond"/>
              </w:rPr>
              <w:t xml:space="preserve">and discuss </w:t>
            </w:r>
            <w:r>
              <w:rPr>
                <w:rFonts w:ascii="Garamond" w:hAnsi="Garamond"/>
              </w:rPr>
              <w:lastRenderedPageBreak/>
              <w:t>stereotyping in terms of the clip</w:t>
            </w:r>
          </w:p>
        </w:tc>
      </w:tr>
      <w:tr w:rsidR="003D5288" w14:paraId="63C2F427" w14:textId="77777777" w:rsidTr="003D5288">
        <w:tc>
          <w:tcPr>
            <w:tcW w:w="4428" w:type="dxa"/>
          </w:tcPr>
          <w:p w14:paraId="5E7C451C" w14:textId="77777777" w:rsidR="003D5288" w:rsidRPr="0010623A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During Reading Assignments</w:t>
            </w:r>
          </w:p>
        </w:tc>
        <w:tc>
          <w:tcPr>
            <w:tcW w:w="4428" w:type="dxa"/>
          </w:tcPr>
          <w:p w14:paraId="60742BD8" w14:textId="77777777" w:rsidR="003D5288" w:rsidRPr="0010623A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10623A">
              <w:rPr>
                <w:rFonts w:ascii="Garamond" w:hAnsi="Garamond"/>
                <w:b/>
              </w:rPr>
              <w:t>Formative</w:t>
            </w:r>
            <w:r>
              <w:rPr>
                <w:rFonts w:ascii="Garamond" w:hAnsi="Garamond"/>
                <w:b/>
              </w:rPr>
              <w:t xml:space="preserve"> &amp; Summative</w:t>
            </w:r>
            <w:r w:rsidRPr="0010623A">
              <w:rPr>
                <w:rFonts w:ascii="Garamond" w:hAnsi="Garamond"/>
                <w:b/>
              </w:rPr>
              <w:t xml:space="preserve"> Assessments</w:t>
            </w:r>
          </w:p>
        </w:tc>
      </w:tr>
      <w:tr w:rsidR="003D5288" w14:paraId="2112C636" w14:textId="77777777" w:rsidTr="003D5288">
        <w:tc>
          <w:tcPr>
            <w:tcW w:w="4428" w:type="dxa"/>
          </w:tcPr>
          <w:p w14:paraId="491D7195" w14:textId="77777777" w:rsidR="003D5288" w:rsidRDefault="003D5288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During Reading </w:t>
            </w:r>
            <w:r w:rsidR="00130815">
              <w:rPr>
                <w:rFonts w:ascii="Garamond" w:hAnsi="Garamond"/>
              </w:rPr>
              <w:t>Logs</w:t>
            </w:r>
          </w:p>
        </w:tc>
        <w:tc>
          <w:tcPr>
            <w:tcW w:w="4428" w:type="dxa"/>
          </w:tcPr>
          <w:p w14:paraId="099B2CCF" w14:textId="77777777" w:rsidR="003D5288" w:rsidRDefault="003D5288" w:rsidP="0013081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Students </w:t>
            </w:r>
            <w:r w:rsidR="00130815">
              <w:rPr>
                <w:rFonts w:ascii="Garamond" w:hAnsi="Garamond"/>
              </w:rPr>
              <w:t>will receive one homework grade for each log completed.  Each log will focus on:</w:t>
            </w:r>
            <w:r w:rsidR="00C453E5">
              <w:rPr>
                <w:rFonts w:ascii="Garamond" w:hAnsi="Garamond"/>
              </w:rPr>
              <w:t xml:space="preserve">  Summary of the chapter(s), tone, theme, and a reaction or reflection on what they read</w:t>
            </w:r>
          </w:p>
        </w:tc>
      </w:tr>
      <w:tr w:rsidR="003D5288" w14:paraId="230A3A6E" w14:textId="77777777" w:rsidTr="003D5288">
        <w:tc>
          <w:tcPr>
            <w:tcW w:w="4428" w:type="dxa"/>
          </w:tcPr>
          <w:p w14:paraId="684AC441" w14:textId="77777777" w:rsidR="003D5288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3D5288">
              <w:rPr>
                <w:rFonts w:ascii="Garamond" w:hAnsi="Garamond"/>
              </w:rPr>
              <w:t>Quizzes</w:t>
            </w:r>
          </w:p>
        </w:tc>
        <w:tc>
          <w:tcPr>
            <w:tcW w:w="4428" w:type="dxa"/>
          </w:tcPr>
          <w:p w14:paraId="1757EC20" w14:textId="77777777" w:rsidR="003D5288" w:rsidRDefault="003D5288" w:rsidP="00C453E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</w:t>
            </w:r>
            <w:r w:rsidR="00C453E5">
              <w:rPr>
                <w:rFonts w:ascii="Garamond" w:hAnsi="Garamond"/>
              </w:rPr>
              <w:t>ts will receive quiz grades on a 100-point scale on the day a reading log is due.  All quizzes are content-based.</w:t>
            </w:r>
          </w:p>
        </w:tc>
      </w:tr>
      <w:tr w:rsidR="003D5288" w14:paraId="544BE148" w14:textId="77777777" w:rsidTr="003D5288">
        <w:tc>
          <w:tcPr>
            <w:tcW w:w="4428" w:type="dxa"/>
          </w:tcPr>
          <w:p w14:paraId="5A704748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Vocabulary Quizzes</w:t>
            </w:r>
          </w:p>
        </w:tc>
        <w:tc>
          <w:tcPr>
            <w:tcW w:w="4428" w:type="dxa"/>
          </w:tcPr>
          <w:p w14:paraId="206B6D46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take three three-part vocabulary quizzes complete with a matching section, a categories section, and a using words from different angles section</w:t>
            </w:r>
          </w:p>
        </w:tc>
      </w:tr>
      <w:tr w:rsidR="00C453E5" w14:paraId="009F2C79" w14:textId="77777777" w:rsidTr="003D5288">
        <w:tc>
          <w:tcPr>
            <w:tcW w:w="4428" w:type="dxa"/>
          </w:tcPr>
          <w:p w14:paraId="7E0E729A" w14:textId="77777777" w:rsidR="00C453E5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 Excerpt Analysis (2)</w:t>
            </w:r>
          </w:p>
        </w:tc>
        <w:tc>
          <w:tcPr>
            <w:tcW w:w="4428" w:type="dxa"/>
          </w:tcPr>
          <w:p w14:paraId="0B4F69EC" w14:textId="77777777" w:rsidR="00C453E5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summative assessment grades, students will complete 2 tone analyses.  Each analysis will focus on an excerpt from the autobiography </w:t>
            </w:r>
            <w:r w:rsidRPr="00C453E5">
              <w:rPr>
                <w:rFonts w:ascii="Garamond" w:hAnsi="Garamond"/>
                <w:i/>
              </w:rPr>
              <w:t>Black Boy</w:t>
            </w:r>
            <w:r>
              <w:rPr>
                <w:rFonts w:ascii="Garamond" w:hAnsi="Garamond"/>
              </w:rPr>
              <w:t xml:space="preserve"> and the author’s tone toward a specific subject, a character, or his surroundings</w:t>
            </w:r>
          </w:p>
        </w:tc>
      </w:tr>
      <w:tr w:rsidR="00C453E5" w14:paraId="4564CBE9" w14:textId="77777777" w:rsidTr="003D5288">
        <w:tc>
          <w:tcPr>
            <w:tcW w:w="4428" w:type="dxa"/>
          </w:tcPr>
          <w:p w14:paraId="7579D819" w14:textId="77777777" w:rsidR="00C453E5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Tone Paragraph Quiz</w:t>
            </w:r>
          </w:p>
        </w:tc>
        <w:tc>
          <w:tcPr>
            <w:tcW w:w="4428" w:type="dxa"/>
          </w:tcPr>
          <w:p w14:paraId="5E64357C" w14:textId="77777777" w:rsidR="00C453E5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Upon completing the tone excerpt analyses, students will write a short paragraph in the open response format, analyzing Richard Wright’s tone toward the Jim Crow south.</w:t>
            </w:r>
          </w:p>
        </w:tc>
      </w:tr>
      <w:tr w:rsidR="00C453E5" w14:paraId="1978E9AD" w14:textId="77777777" w:rsidTr="003D5288">
        <w:tc>
          <w:tcPr>
            <w:tcW w:w="4428" w:type="dxa"/>
          </w:tcPr>
          <w:p w14:paraId="46EF78C5" w14:textId="77777777" w:rsidR="00C453E5" w:rsidRDefault="00C453E5" w:rsidP="00C453E5">
            <w:pPr>
              <w:pStyle w:val="NoSpacing"/>
              <w:rPr>
                <w:rFonts w:ascii="Garamond" w:hAnsi="Garamond"/>
              </w:rPr>
            </w:pPr>
            <w:r w:rsidRPr="00C453E5">
              <w:rPr>
                <w:rFonts w:ascii="Garamond" w:hAnsi="Garamond"/>
                <w:i/>
              </w:rPr>
              <w:t>Black Boy</w:t>
            </w:r>
            <w:r>
              <w:rPr>
                <w:rFonts w:ascii="Garamond" w:hAnsi="Garamond"/>
              </w:rPr>
              <w:t xml:space="preserve"> in class Mini-Lessons</w:t>
            </w:r>
          </w:p>
        </w:tc>
        <w:tc>
          <w:tcPr>
            <w:tcW w:w="4428" w:type="dxa"/>
          </w:tcPr>
          <w:p w14:paraId="6BF8F036" w14:textId="349A76E3" w:rsidR="00C453E5" w:rsidRDefault="00C453E5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CP/CW grades, students will discuss the following through reflections, blog posts, or class discussions</w:t>
            </w:r>
            <w:r w:rsidR="00F71C95">
              <w:rPr>
                <w:rFonts w:ascii="Garamond" w:hAnsi="Garamond"/>
              </w:rPr>
              <w:t xml:space="preserve"> (essence of conflict)</w:t>
            </w:r>
            <w:r>
              <w:rPr>
                <w:rFonts w:ascii="Garamond" w:hAnsi="Garamond"/>
              </w:rPr>
              <w:t>:</w:t>
            </w:r>
          </w:p>
          <w:p w14:paraId="48242EDE" w14:textId="4D0BB7F3" w:rsidR="00C453E5" w:rsidRDefault="00C453E5" w:rsidP="00C453E5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Familial/Friend/Co-worker relations</w:t>
            </w:r>
            <w:r w:rsidR="00F71C95">
              <w:rPr>
                <w:rFonts w:ascii="Garamond" w:hAnsi="Garamond"/>
              </w:rPr>
              <w:t xml:space="preserve"> – Blog Post TBD</w:t>
            </w:r>
          </w:p>
          <w:p w14:paraId="2F26E02D" w14:textId="4B6486BA" w:rsidR="00C453E5" w:rsidRDefault="00C453E5" w:rsidP="00C453E5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Racism</w:t>
            </w:r>
            <w:r w:rsidR="00736622">
              <w:rPr>
                <w:rFonts w:ascii="Garamond" w:hAnsi="Garamond"/>
              </w:rPr>
              <w:t xml:space="preserve"> &amp; Identity</w:t>
            </w:r>
            <w:r w:rsidR="00F71C95">
              <w:rPr>
                <w:rFonts w:ascii="Garamond" w:hAnsi="Garamond"/>
              </w:rPr>
              <w:t xml:space="preserve"> – Blog Post TBD</w:t>
            </w:r>
          </w:p>
          <w:p w14:paraId="0172FCE9" w14:textId="00A18515" w:rsidR="00C453E5" w:rsidRDefault="00C453E5" w:rsidP="00C453E5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Religion</w:t>
            </w:r>
            <w:r w:rsidR="00021330">
              <w:rPr>
                <w:rFonts w:ascii="Garamond" w:hAnsi="Garamond"/>
              </w:rPr>
              <w:t xml:space="preserve"> – Granny’s 10 Commandments</w:t>
            </w:r>
          </w:p>
          <w:p w14:paraId="335D32F7" w14:textId="218FDC04" w:rsidR="00021330" w:rsidRDefault="00021330" w:rsidP="00C453E5">
            <w:pPr>
              <w:pStyle w:val="NoSpacing"/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Reading/Knowledge – </w:t>
            </w:r>
            <w:r w:rsidRPr="00021330">
              <w:rPr>
                <w:rFonts w:ascii="Garamond" w:hAnsi="Garamond"/>
                <w:i/>
              </w:rPr>
              <w:t>from</w:t>
            </w:r>
            <w:r>
              <w:rPr>
                <w:rFonts w:ascii="Garamond" w:hAnsi="Garamond"/>
              </w:rPr>
              <w:t xml:space="preserve"> “Hunger of Memory” vs. </w:t>
            </w:r>
            <w:r w:rsidRPr="00021330">
              <w:rPr>
                <w:rFonts w:ascii="Garamond" w:hAnsi="Garamond"/>
                <w:i/>
              </w:rPr>
              <w:t>Black Boy</w:t>
            </w:r>
          </w:p>
        </w:tc>
      </w:tr>
      <w:tr w:rsidR="001879EE" w14:paraId="47E4AC0B" w14:textId="77777777" w:rsidTr="003D5288">
        <w:tc>
          <w:tcPr>
            <w:tcW w:w="4428" w:type="dxa"/>
          </w:tcPr>
          <w:p w14:paraId="720CF07B" w14:textId="018D9036" w:rsidR="001879EE" w:rsidRPr="001879EE" w:rsidRDefault="001879EE" w:rsidP="00C453E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Almost White Boy” Mini Unit</w:t>
            </w:r>
          </w:p>
        </w:tc>
        <w:tc>
          <w:tcPr>
            <w:tcW w:w="4428" w:type="dxa"/>
          </w:tcPr>
          <w:p w14:paraId="5CE24287" w14:textId="482FF1F8" w:rsidR="001879EE" w:rsidRPr="00736622" w:rsidRDefault="00736622" w:rsidP="00736622">
            <w:pPr>
              <w:pStyle w:val="NoSpacing"/>
              <w:rPr>
                <w:rFonts w:ascii="Garamond" w:hAnsi="Garamond"/>
                <w:b/>
              </w:rPr>
            </w:pPr>
            <w:r w:rsidRPr="00736622">
              <w:rPr>
                <w:rFonts w:ascii="Garamond" w:hAnsi="Garamond"/>
                <w:b/>
              </w:rPr>
              <w:t>Pre-Reading Activities:</w:t>
            </w:r>
          </w:p>
          <w:p w14:paraId="3FAC7DCD" w14:textId="77777777" w:rsidR="001879EE" w:rsidRDefault="001879EE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“Team Light Skinned” Poem</w:t>
            </w:r>
          </w:p>
          <w:p w14:paraId="0D38A7C1" w14:textId="77777777" w:rsidR="001879EE" w:rsidRDefault="001879EE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Vocabulary Activity</w:t>
            </w:r>
          </w:p>
          <w:p w14:paraId="730FE6A1" w14:textId="726297C0" w:rsidR="001879EE" w:rsidRDefault="001879EE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Issues of Identity Pre-Reading Assignment</w:t>
            </w:r>
            <w:r w:rsidR="00736622">
              <w:rPr>
                <w:rFonts w:ascii="Garamond" w:hAnsi="Garamond"/>
              </w:rPr>
              <w:t>:  One Drop to be the Color Black</w:t>
            </w:r>
          </w:p>
          <w:p w14:paraId="768400D4" w14:textId="4120AE11" w:rsidR="00736622" w:rsidRPr="00736622" w:rsidRDefault="00736622" w:rsidP="00736622">
            <w:pPr>
              <w:pStyle w:val="NoSpacing"/>
              <w:rPr>
                <w:rFonts w:ascii="Garamond" w:hAnsi="Garamond"/>
                <w:b/>
              </w:rPr>
            </w:pPr>
            <w:r w:rsidRPr="00736622">
              <w:rPr>
                <w:rFonts w:ascii="Garamond" w:hAnsi="Garamond"/>
                <w:b/>
              </w:rPr>
              <w:t>During Reading Activities:</w:t>
            </w:r>
          </w:p>
          <w:p w14:paraId="28D5CC3D" w14:textId="77777777" w:rsidR="001879EE" w:rsidRDefault="001879EE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During Reading Questions</w:t>
            </w:r>
          </w:p>
          <w:p w14:paraId="1DC28F21" w14:textId="1005C972" w:rsidR="00736622" w:rsidRDefault="00736622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Actively read “The Almost White Boy” using the I’s &amp;/or C’s Method</w:t>
            </w:r>
          </w:p>
          <w:p w14:paraId="490DDEF9" w14:textId="2A7ED7F6" w:rsidR="00736622" w:rsidRPr="00736622" w:rsidRDefault="00736622" w:rsidP="00736622">
            <w:pPr>
              <w:pStyle w:val="NoSpacing"/>
              <w:rPr>
                <w:rFonts w:ascii="Garamond" w:hAnsi="Garamond"/>
                <w:b/>
              </w:rPr>
            </w:pPr>
            <w:r w:rsidRPr="00736622">
              <w:rPr>
                <w:rFonts w:ascii="Garamond" w:hAnsi="Garamond"/>
                <w:b/>
              </w:rPr>
              <w:t>Post Reading Activities:</w:t>
            </w:r>
          </w:p>
          <w:p w14:paraId="39C080C9" w14:textId="77777777" w:rsidR="001879EE" w:rsidRDefault="001879EE" w:rsidP="001879EE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“The Almost White Boy” Graphing Activity </w:t>
            </w:r>
          </w:p>
          <w:p w14:paraId="757295AB" w14:textId="68752A97" w:rsidR="001879EE" w:rsidRDefault="001879EE" w:rsidP="00736622">
            <w:pPr>
              <w:pStyle w:val="NoSpacing"/>
              <w:numPr>
                <w:ilvl w:val="0"/>
                <w:numId w:val="2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Tone </w:t>
            </w:r>
            <w:r w:rsidR="00736622">
              <w:rPr>
                <w:rFonts w:ascii="Garamond" w:hAnsi="Garamond"/>
              </w:rPr>
              <w:t>Blog Post</w:t>
            </w:r>
          </w:p>
        </w:tc>
      </w:tr>
      <w:tr w:rsidR="003D5288" w14:paraId="7411EEB9" w14:textId="77777777" w:rsidTr="003D5288">
        <w:tc>
          <w:tcPr>
            <w:tcW w:w="4428" w:type="dxa"/>
          </w:tcPr>
          <w:p w14:paraId="4EA95CD0" w14:textId="342FD804" w:rsidR="003D5288" w:rsidRPr="0001268B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1268B">
              <w:rPr>
                <w:rFonts w:ascii="Garamond" w:hAnsi="Garamond"/>
                <w:b/>
              </w:rPr>
              <w:t>Post Reading Assignments</w:t>
            </w:r>
          </w:p>
        </w:tc>
        <w:tc>
          <w:tcPr>
            <w:tcW w:w="4428" w:type="dxa"/>
          </w:tcPr>
          <w:p w14:paraId="525A7A48" w14:textId="77777777" w:rsidR="003D5288" w:rsidRPr="0001268B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Formative &amp; </w:t>
            </w:r>
            <w:r w:rsidRPr="0001268B">
              <w:rPr>
                <w:rFonts w:ascii="Garamond" w:hAnsi="Garamond"/>
                <w:b/>
              </w:rPr>
              <w:t>Summative Assessments</w:t>
            </w:r>
          </w:p>
        </w:tc>
      </w:tr>
      <w:tr w:rsidR="001879EE" w14:paraId="39851B08" w14:textId="77777777" w:rsidTr="003D5288">
        <w:tc>
          <w:tcPr>
            <w:tcW w:w="4428" w:type="dxa"/>
          </w:tcPr>
          <w:p w14:paraId="39C8962D" w14:textId="7E9F2611" w:rsidR="001879EE" w:rsidRPr="001879EE" w:rsidRDefault="001879EE" w:rsidP="001879EE">
            <w:pPr>
              <w:pStyle w:val="NoSpacing"/>
              <w:rPr>
                <w:rFonts w:ascii="Garamond" w:hAnsi="Garamond"/>
              </w:rPr>
            </w:pPr>
            <w:r w:rsidRPr="001879EE">
              <w:rPr>
                <w:rFonts w:ascii="Garamond" w:hAnsi="Garamond"/>
                <w:i/>
              </w:rPr>
              <w:t>Black Boy</w:t>
            </w:r>
            <w:r>
              <w:rPr>
                <w:rFonts w:ascii="Garamond" w:hAnsi="Garamond"/>
              </w:rPr>
              <w:t xml:space="preserve"> &amp; </w:t>
            </w:r>
            <w:r w:rsidRPr="001879EE">
              <w:rPr>
                <w:rFonts w:ascii="Garamond" w:hAnsi="Garamond"/>
                <w:i/>
              </w:rPr>
              <w:t xml:space="preserve">from </w:t>
            </w:r>
            <w:r w:rsidRPr="001879EE"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Hunger of Memory” OR</w:t>
            </w:r>
          </w:p>
        </w:tc>
        <w:tc>
          <w:tcPr>
            <w:tcW w:w="4428" w:type="dxa"/>
          </w:tcPr>
          <w:p w14:paraId="5F3619B5" w14:textId="7D416699" w:rsidR="001879EE" w:rsidRPr="001879EE" w:rsidRDefault="001879EE" w:rsidP="001879E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Students will write an open response as a summative assessment, comparing and contrasting </w:t>
            </w:r>
            <w:r w:rsidRPr="001879EE">
              <w:rPr>
                <w:rFonts w:ascii="Garamond" w:hAnsi="Garamond"/>
                <w:i/>
              </w:rPr>
              <w:t>Black Boy</w:t>
            </w:r>
            <w:r>
              <w:rPr>
                <w:rFonts w:ascii="Garamond" w:hAnsi="Garamond"/>
              </w:rPr>
              <w:t xml:space="preserve"> and</w:t>
            </w:r>
            <w:r w:rsidRPr="001879EE">
              <w:rPr>
                <w:rFonts w:ascii="Garamond" w:hAnsi="Garamond"/>
                <w:i/>
              </w:rPr>
              <w:t xml:space="preserve"> from</w:t>
            </w:r>
            <w:r>
              <w:rPr>
                <w:rFonts w:ascii="Garamond" w:hAnsi="Garamond"/>
              </w:rPr>
              <w:t xml:space="preserve"> “Hunger of Memory”</w:t>
            </w:r>
          </w:p>
        </w:tc>
      </w:tr>
      <w:tr w:rsidR="003D5288" w14:paraId="17FBBDDC" w14:textId="77777777" w:rsidTr="003D5288">
        <w:tc>
          <w:tcPr>
            <w:tcW w:w="4428" w:type="dxa"/>
          </w:tcPr>
          <w:p w14:paraId="6F0035DA" w14:textId="1344B52A" w:rsidR="003D5288" w:rsidRPr="0028514C" w:rsidRDefault="00A22128" w:rsidP="00A2212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Compare &amp; Contrast excerpt from </w:t>
            </w:r>
            <w:r>
              <w:rPr>
                <w:rFonts w:ascii="Garamond" w:hAnsi="Garamond"/>
                <w:i/>
              </w:rPr>
              <w:t xml:space="preserve">The Autobiography of </w:t>
            </w:r>
            <w:r w:rsidR="00C453E5" w:rsidRPr="00A22128">
              <w:rPr>
                <w:rFonts w:ascii="Garamond" w:hAnsi="Garamond"/>
                <w:i/>
              </w:rPr>
              <w:t>Malcolm X</w:t>
            </w:r>
            <w:r w:rsidR="00C453E5">
              <w:rPr>
                <w:rFonts w:ascii="Garamond" w:hAnsi="Garamond"/>
              </w:rPr>
              <w:t xml:space="preserve"> &amp;</w:t>
            </w:r>
            <w:r>
              <w:rPr>
                <w:rFonts w:ascii="Garamond" w:hAnsi="Garamond"/>
              </w:rPr>
              <w:t xml:space="preserve"> “Malcolm is ‘Bout More than Wearing a Cap”</w:t>
            </w:r>
            <w:r w:rsidR="00C453E5">
              <w:rPr>
                <w:rFonts w:ascii="Garamond" w:hAnsi="Garamond"/>
              </w:rPr>
              <w:t xml:space="preserve"> poem in an open response</w:t>
            </w:r>
          </w:p>
        </w:tc>
        <w:tc>
          <w:tcPr>
            <w:tcW w:w="4428" w:type="dxa"/>
          </w:tcPr>
          <w:p w14:paraId="761ED5C4" w14:textId="46AA3A52" w:rsidR="0028514C" w:rsidRPr="0001268B" w:rsidRDefault="00021330" w:rsidP="00C453E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summative assessment grade for completing the open response</w:t>
            </w:r>
          </w:p>
        </w:tc>
      </w:tr>
      <w:tr w:rsidR="0028514C" w14:paraId="704500A0" w14:textId="77777777" w:rsidTr="003D5288">
        <w:tc>
          <w:tcPr>
            <w:tcW w:w="4428" w:type="dxa"/>
          </w:tcPr>
          <w:p w14:paraId="2FAF6BED" w14:textId="5EDB4055" w:rsidR="0028514C" w:rsidRPr="00021330" w:rsidRDefault="00021330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Autobiographical Incident &amp; Cover</w:t>
            </w:r>
          </w:p>
        </w:tc>
        <w:tc>
          <w:tcPr>
            <w:tcW w:w="4428" w:type="dxa"/>
          </w:tcPr>
          <w:p w14:paraId="77CC361D" w14:textId="61D5EC75" w:rsidR="0028514C" w:rsidRDefault="00021330" w:rsidP="0002133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summative assessment grade, students will write an autobiographical account of a circumstance they experienced and learned from</w:t>
            </w:r>
          </w:p>
        </w:tc>
      </w:tr>
      <w:tr w:rsidR="003D5288" w14:paraId="43B359D1" w14:textId="77777777" w:rsidTr="003D5288">
        <w:tc>
          <w:tcPr>
            <w:tcW w:w="4428" w:type="dxa"/>
          </w:tcPr>
          <w:p w14:paraId="2235F157" w14:textId="1E321EEF" w:rsidR="003D5288" w:rsidRDefault="00021330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“Rising from the Ashes” Group Project</w:t>
            </w:r>
          </w:p>
        </w:tc>
        <w:tc>
          <w:tcPr>
            <w:tcW w:w="4428" w:type="dxa"/>
          </w:tcPr>
          <w:p w14:paraId="5F92FBED" w14:textId="39780B2A" w:rsidR="003D5288" w:rsidRDefault="00021330" w:rsidP="00021330">
            <w:pPr>
              <w:pStyle w:val="NoSpacing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small groups and for a summative assessment grade, students will chose one person from history, African American or otherwise, and chronicle their “rise from the ashes” in an aesthetically pleasing power point and presentation.</w:t>
            </w:r>
          </w:p>
          <w:p w14:paraId="0A7849C9" w14:textId="24D7AD02" w:rsidR="00021330" w:rsidRPr="00747CBC" w:rsidRDefault="00021330" w:rsidP="00021330">
            <w:pPr>
              <w:pStyle w:val="NoSpacing"/>
              <w:numPr>
                <w:ilvl w:val="0"/>
                <w:numId w:val="1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CP/CW grade, students in the audience will take notes and ask questions for each presentation</w:t>
            </w:r>
          </w:p>
        </w:tc>
      </w:tr>
      <w:tr w:rsidR="00F71C95" w14:paraId="070D5544" w14:textId="77777777" w:rsidTr="003D5288">
        <w:tc>
          <w:tcPr>
            <w:tcW w:w="4428" w:type="dxa"/>
          </w:tcPr>
          <w:p w14:paraId="17587939" w14:textId="258CC388" w:rsidR="00F71C95" w:rsidRDefault="00F71C95" w:rsidP="003D5288">
            <w:pPr>
              <w:pStyle w:val="NoSpacing"/>
              <w:rPr>
                <w:rFonts w:ascii="Garamond" w:hAnsi="Garamond"/>
              </w:rPr>
            </w:pPr>
            <w:r w:rsidRPr="00F71C95">
              <w:rPr>
                <w:rFonts w:ascii="Garamond" w:hAnsi="Garamond"/>
                <w:i/>
              </w:rPr>
              <w:t>Black Boy</w:t>
            </w:r>
            <w:r>
              <w:rPr>
                <w:rFonts w:ascii="Garamond" w:hAnsi="Garamond"/>
              </w:rPr>
              <w:t xml:space="preserve"> Unit Exam</w:t>
            </w:r>
          </w:p>
        </w:tc>
        <w:tc>
          <w:tcPr>
            <w:tcW w:w="4428" w:type="dxa"/>
          </w:tcPr>
          <w:p w14:paraId="382F3B93" w14:textId="7BF688B8" w:rsidR="00F71C95" w:rsidRDefault="00F71C95" w:rsidP="00F71C9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 summative assessment, students will complete a unit exam on the autobiography’s content, vocabulary, &amp; analysis</w:t>
            </w:r>
          </w:p>
        </w:tc>
      </w:tr>
      <w:tr w:rsidR="003D5288" w14:paraId="3CF3DF5E" w14:textId="77777777" w:rsidTr="003D5288">
        <w:tc>
          <w:tcPr>
            <w:tcW w:w="4428" w:type="dxa"/>
          </w:tcPr>
          <w:p w14:paraId="528990CC" w14:textId="1C17BCFE" w:rsidR="003D5288" w:rsidRDefault="00021330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Black Boy </w:t>
            </w:r>
            <w:r w:rsidR="003D5288">
              <w:rPr>
                <w:rFonts w:ascii="Garamond" w:hAnsi="Garamond"/>
              </w:rPr>
              <w:t>Core Work Index Card</w:t>
            </w:r>
          </w:p>
        </w:tc>
        <w:tc>
          <w:tcPr>
            <w:tcW w:w="4428" w:type="dxa"/>
          </w:tcPr>
          <w:p w14:paraId="0284D534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class participation/classwork grade for completing this review of the novel for unit exam and state exam purposes.</w:t>
            </w:r>
          </w:p>
        </w:tc>
      </w:tr>
    </w:tbl>
    <w:p w14:paraId="72CCEAD2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14:paraId="2B7D78E0" w14:textId="77777777" w:rsidTr="003D5288">
        <w:tc>
          <w:tcPr>
            <w:tcW w:w="4428" w:type="dxa"/>
          </w:tcPr>
          <w:p w14:paraId="3A596AAF" w14:textId="77777777" w:rsidR="003D5288" w:rsidRPr="000B4E1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Opener Samples</w:t>
            </w:r>
          </w:p>
        </w:tc>
        <w:tc>
          <w:tcPr>
            <w:tcW w:w="4428" w:type="dxa"/>
          </w:tcPr>
          <w:p w14:paraId="135E80BC" w14:textId="77777777" w:rsidR="003D5288" w:rsidRPr="000B4E1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Closer Samples</w:t>
            </w:r>
          </w:p>
        </w:tc>
      </w:tr>
      <w:tr w:rsidR="003D5288" w14:paraId="6E4A6BE3" w14:textId="77777777" w:rsidTr="003D5288">
        <w:tc>
          <w:tcPr>
            <w:tcW w:w="4428" w:type="dxa"/>
          </w:tcPr>
          <w:p w14:paraId="0792F548" w14:textId="43A1BDB5" w:rsidR="003D5288" w:rsidRDefault="00736622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 Quiz Examples</w:t>
            </w:r>
            <w:r w:rsidR="0028514C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 xml:space="preserve">What is tone?  Provide an example of a word that possesses both connotative and denotative properties.  </w:t>
            </w:r>
          </w:p>
          <w:p w14:paraId="2BD87EB5" w14:textId="164A8E94" w:rsidR="003D5288" w:rsidRDefault="00F71C95" w:rsidP="00D106F0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KWL:  Write down 1 thing you know about the Jim Crow Era, 1 thing you want to know, and 1 thing you learned about the Jim Crow Era</w:t>
            </w:r>
          </w:p>
        </w:tc>
        <w:tc>
          <w:tcPr>
            <w:tcW w:w="4428" w:type="dxa"/>
          </w:tcPr>
          <w:p w14:paraId="2B81BE65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Summary of the day’s lesson</w:t>
            </w:r>
          </w:p>
          <w:p w14:paraId="2B71FDF6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Reactions to class material through brief discussions and quick writes</w:t>
            </w:r>
          </w:p>
          <w:p w14:paraId="4F2894F7" w14:textId="77777777" w:rsidR="003D5288" w:rsidRDefault="003D5288" w:rsidP="003D5288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Status Reports</w:t>
            </w:r>
          </w:p>
          <w:p w14:paraId="62E7B653" w14:textId="454C707F" w:rsidR="003D5288" w:rsidRPr="000B4E11" w:rsidRDefault="003D5288" w:rsidP="00F71C95">
            <w:pPr>
              <w:pStyle w:val="NoSpacing"/>
              <w:ind w:left="360"/>
              <w:rPr>
                <w:rFonts w:ascii="Garamond" w:hAnsi="Garamond"/>
              </w:rPr>
            </w:pPr>
          </w:p>
        </w:tc>
      </w:tr>
    </w:tbl>
    <w:p w14:paraId="3819C639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5288" w14:paraId="68BFBDD8" w14:textId="77777777" w:rsidTr="003D5288">
        <w:tc>
          <w:tcPr>
            <w:tcW w:w="8856" w:type="dxa"/>
          </w:tcPr>
          <w:p w14:paraId="4FD63BC4" w14:textId="77777777" w:rsidR="003D5288" w:rsidRPr="00724A6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BHS Literacy Objectives</w:t>
            </w:r>
          </w:p>
        </w:tc>
      </w:tr>
      <w:tr w:rsidR="003D5288" w14:paraId="049EFAB3" w14:textId="77777777" w:rsidTr="003D5288">
        <w:tc>
          <w:tcPr>
            <w:tcW w:w="8856" w:type="dxa"/>
          </w:tcPr>
          <w:p w14:paraId="1EE2FA09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Reading:</w:t>
            </w:r>
            <w:r>
              <w:rPr>
                <w:rFonts w:ascii="Garamond" w:hAnsi="Garamond"/>
              </w:rPr>
              <w:t xml:space="preserve">  For content (both literal and inferential), to apply pre-reading, during reading, and post-reading strategies to all reading assignments, including determining purpose and pre-learning vocabulary, to research a topic, to gather information, to comprehend an argument, to determine the main idea of a passage, to understand a concept and construct meaning, and to expand one’s experience</w:t>
            </w:r>
          </w:p>
        </w:tc>
      </w:tr>
      <w:tr w:rsidR="003D5288" w14:paraId="591DBD0E" w14:textId="77777777" w:rsidTr="003D5288">
        <w:tc>
          <w:tcPr>
            <w:tcW w:w="8856" w:type="dxa"/>
          </w:tcPr>
          <w:p w14:paraId="620446D1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Writing:</w:t>
            </w:r>
            <w:r>
              <w:rPr>
                <w:rFonts w:ascii="Garamond" w:hAnsi="Garamond"/>
              </w:rPr>
              <w:t xml:space="preserve">  To take notes, to explain one’s thinking, to argue a thesis and support ones thinking, to compare and contrast, to write an open response, to generate a response to what one has read, viewed, and heard, to convey one’s thinking in complete sentences, and to develop an expository essay with a formal structure</w:t>
            </w:r>
          </w:p>
        </w:tc>
      </w:tr>
      <w:tr w:rsidR="003D5288" w14:paraId="1960CE45" w14:textId="77777777" w:rsidTr="003D5288">
        <w:tc>
          <w:tcPr>
            <w:tcW w:w="8856" w:type="dxa"/>
          </w:tcPr>
          <w:p w14:paraId="64EAA8F6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Speaking:</w:t>
            </w:r>
            <w:r>
              <w:rPr>
                <w:rFonts w:ascii="Garamond" w:hAnsi="Garamond"/>
              </w:rPr>
              <w:t xml:space="preserve">  To convey one’s thinking in complete sentences,</w:t>
            </w:r>
            <w:r w:rsidR="00D106F0">
              <w:rPr>
                <w:rFonts w:ascii="Garamond" w:hAnsi="Garamond"/>
              </w:rPr>
              <w:t xml:space="preserve"> to interpret a passage orally,</w:t>
            </w:r>
            <w:r>
              <w:rPr>
                <w:rFonts w:ascii="Garamond" w:hAnsi="Garamond"/>
              </w:rPr>
              <w:t xml:space="preserve"> to participate in class discussion,</w:t>
            </w:r>
            <w:r w:rsidR="00D106F0">
              <w:rPr>
                <w:rFonts w:ascii="Garamond" w:hAnsi="Garamond"/>
              </w:rPr>
              <w:t xml:space="preserve"> to make an oral presentation to one’s class &amp; peers,</w:t>
            </w:r>
            <w:r>
              <w:rPr>
                <w:rFonts w:ascii="Garamond" w:hAnsi="Garamond"/>
              </w:rPr>
              <w:t xml:space="preserve"> to respond to what one has read, viewed, or heard, and to communicate in a manner that allows one to be both heard and understood</w:t>
            </w:r>
          </w:p>
        </w:tc>
      </w:tr>
      <w:tr w:rsidR="003D5288" w14:paraId="76C8F282" w14:textId="77777777" w:rsidTr="003D5288">
        <w:tc>
          <w:tcPr>
            <w:tcW w:w="8856" w:type="dxa"/>
          </w:tcPr>
          <w:p w14:paraId="31D5EBEF" w14:textId="37793A76" w:rsidR="003D5288" w:rsidRDefault="003D5288" w:rsidP="003D5288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Reasoning:</w:t>
            </w:r>
            <w:r>
              <w:rPr>
                <w:rFonts w:ascii="Garamond" w:hAnsi="Garamond"/>
              </w:rPr>
              <w:t xml:space="preserve">  </w:t>
            </w:r>
            <w:r w:rsidR="001879EE">
              <w:rPr>
                <w:rFonts w:ascii="Garamond" w:hAnsi="Garamond"/>
              </w:rPr>
              <w:t>To create, interpret, and explain a table, chart, or graph, t</w:t>
            </w:r>
            <w:r>
              <w:rPr>
                <w:rFonts w:ascii="Garamond" w:hAnsi="Garamond"/>
              </w:rPr>
              <w:t>o identify a pattern, explain a pattern and/or make a prediction based on a pattern, to explain the logic of an argument or solution, and to use analogies and/or evidence to support one’s thinking</w:t>
            </w:r>
          </w:p>
        </w:tc>
      </w:tr>
    </w:tbl>
    <w:p w14:paraId="160C5865" w14:textId="77777777" w:rsidR="003D5288" w:rsidRDefault="003D5288" w:rsidP="003D5288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5288" w14:paraId="2BAB4D23" w14:textId="77777777" w:rsidTr="003D5288">
        <w:tc>
          <w:tcPr>
            <w:tcW w:w="8856" w:type="dxa"/>
            <w:gridSpan w:val="2"/>
          </w:tcPr>
          <w:p w14:paraId="72A7D535" w14:textId="77777777" w:rsidR="003D5288" w:rsidRPr="00724A61" w:rsidRDefault="003D5288" w:rsidP="003D528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Common Core Standards</w:t>
            </w:r>
          </w:p>
        </w:tc>
      </w:tr>
      <w:tr w:rsidR="003D5288" w14:paraId="0282E077" w14:textId="77777777" w:rsidTr="003D5288">
        <w:tc>
          <w:tcPr>
            <w:tcW w:w="4428" w:type="dxa"/>
          </w:tcPr>
          <w:p w14:paraId="65BB0D5B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4428" w:type="dxa"/>
          </w:tcPr>
          <w:p w14:paraId="53FC4D80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 xml:space="preserve">Key Ideas &amp; Details:  </w:t>
            </w:r>
          </w:p>
          <w:p w14:paraId="1136017E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closely to determine what the text says explicitly and to make logical inferences from it; cite specific textual evidence when writing or speaking to support conclusions drawn from the text</w:t>
            </w:r>
          </w:p>
          <w:p w14:paraId="5FE3F804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central ideas or themes of a text and analyze their development; summarize the key supporting details and ideas.</w:t>
            </w:r>
          </w:p>
          <w:p w14:paraId="47AEA8F7" w14:textId="77777777" w:rsidR="003D5288" w:rsidRDefault="003D5288" w:rsidP="003D5288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how and why individuals, events, and ideas develop and interact over the course of a text.</w:t>
            </w:r>
          </w:p>
          <w:p w14:paraId="1294DAB5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Craft &amp; Structure:</w:t>
            </w:r>
          </w:p>
          <w:p w14:paraId="73971676" w14:textId="77777777" w:rsidR="003D5288" w:rsidRDefault="003D5288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Interpret words and phrases as they are used in a text, including determining technical, connotative, and figurative meanings and analyze how specific word choices shape meaning.</w:t>
            </w:r>
          </w:p>
          <w:p w14:paraId="06459C5D" w14:textId="77777777" w:rsidR="003D5288" w:rsidRDefault="003D5288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how purpose shapes the content and style of a text.</w:t>
            </w:r>
          </w:p>
          <w:p w14:paraId="378C5A0D" w14:textId="77777777" w:rsidR="00D106F0" w:rsidRDefault="00D106F0" w:rsidP="003D5288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how point of view or purpose shapes the content and style of a text.</w:t>
            </w:r>
          </w:p>
          <w:p w14:paraId="1E677C64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Integration of Knowledge &amp; Ideas:</w:t>
            </w:r>
          </w:p>
          <w:p w14:paraId="031BCFBD" w14:textId="77777777" w:rsidR="003D5288" w:rsidRDefault="003D5288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content presented in diverse formats and media, including visually and quantitatively, as well as in words.</w:t>
            </w:r>
          </w:p>
          <w:p w14:paraId="5CFD3D1B" w14:textId="77777777" w:rsidR="003D5288" w:rsidRDefault="003D5288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Delineate and evaluate the argument and specific claims in a text, including the validity of the reasoning as well as the relevance and sufficiency of the evidence.</w:t>
            </w:r>
          </w:p>
          <w:p w14:paraId="7A1E1E88" w14:textId="77777777" w:rsidR="00D106F0" w:rsidRDefault="00D106F0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the meaning of literary texts by drawing on knowledge of literary concepts &amp; genres.</w:t>
            </w:r>
          </w:p>
          <w:p w14:paraId="7086438F" w14:textId="77777777" w:rsidR="003D5288" w:rsidRDefault="003D5288" w:rsidP="003D5288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how two or more texts address similar themes or topics in order to build knowledge or to compare the approaches the authors take.</w:t>
            </w:r>
          </w:p>
          <w:p w14:paraId="69DAC466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Reading &amp; Level of Text Complexity:</w:t>
            </w:r>
          </w:p>
          <w:p w14:paraId="08AD7C36" w14:textId="77777777" w:rsidR="003D5288" w:rsidRDefault="003D5288" w:rsidP="003D5288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and comprehend complex literary and informational texts independently and proficiently.</w:t>
            </w:r>
          </w:p>
        </w:tc>
      </w:tr>
      <w:tr w:rsidR="003D5288" w14:paraId="2BF81359" w14:textId="77777777" w:rsidTr="003D5288">
        <w:tc>
          <w:tcPr>
            <w:tcW w:w="4428" w:type="dxa"/>
          </w:tcPr>
          <w:p w14:paraId="71E9D539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College &amp; Career Readiness Anchor Standards for</w:t>
            </w:r>
            <w:r w:rsidRPr="004C6364">
              <w:rPr>
                <w:rFonts w:ascii="Garamond" w:hAnsi="Garamond"/>
                <w:b/>
              </w:rPr>
              <w:t xml:space="preserve"> Writing</w:t>
            </w:r>
          </w:p>
        </w:tc>
        <w:tc>
          <w:tcPr>
            <w:tcW w:w="4428" w:type="dxa"/>
          </w:tcPr>
          <w:p w14:paraId="32A5DB0E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Text Types &amp; Purposes:</w:t>
            </w:r>
          </w:p>
          <w:p w14:paraId="1FD16F7F" w14:textId="77777777" w:rsidR="003D5288" w:rsidRDefault="003D5288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arguments to support claims in an analysis of substantive topics or texts, using valid reasoning and relevant and sufficient evidence.</w:t>
            </w:r>
          </w:p>
          <w:p w14:paraId="40AF1295" w14:textId="77777777" w:rsidR="00D106F0" w:rsidRDefault="00D106F0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14:paraId="2EF7A5BE" w14:textId="6D9E2D75" w:rsidR="00736622" w:rsidRDefault="00736622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narratives to develop real experiences or events using effective technique, well-chosen details, and well-structured event sequences.</w:t>
            </w:r>
          </w:p>
          <w:p w14:paraId="1768C7DB" w14:textId="77777777" w:rsidR="00D106F0" w:rsidRDefault="00D106F0" w:rsidP="003D5288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personal reflections that demonstrate awareness of literary concepts and genres.</w:t>
            </w:r>
          </w:p>
          <w:p w14:paraId="29C7DB5A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Production &amp; Distribution of Writing:</w:t>
            </w:r>
          </w:p>
          <w:p w14:paraId="7336C769" w14:textId="77777777" w:rsidR="003D5288" w:rsidRDefault="003D5288" w:rsidP="003D5288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Produce clear and coherent writing in which the development, organization, and style are appropriate for the task, purpose, and audience</w:t>
            </w:r>
          </w:p>
          <w:p w14:paraId="178CFE6F" w14:textId="77777777" w:rsidR="003D5288" w:rsidRDefault="003D5288" w:rsidP="003D5288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 and strengthen writing as needed by planning.</w:t>
            </w:r>
          </w:p>
          <w:p w14:paraId="1709A265" w14:textId="77777777" w:rsidR="00D106F0" w:rsidRDefault="00D106F0" w:rsidP="003D5288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Use technology, including the Internet, to produce writing and to interact and collaborate with others.</w:t>
            </w:r>
          </w:p>
          <w:p w14:paraId="67A7CDC3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Research to Build and Present Knowledge:</w:t>
            </w:r>
          </w:p>
          <w:p w14:paraId="2B8DA036" w14:textId="77777777" w:rsidR="00D106F0" w:rsidRDefault="00D106F0" w:rsidP="003D5288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Conduct short as well as more sustained research projects based on focused questions, demonstrating understanding of the subject under investigation.</w:t>
            </w:r>
          </w:p>
          <w:p w14:paraId="73480072" w14:textId="77777777" w:rsidR="003D5288" w:rsidRDefault="003D5288" w:rsidP="003D5288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Gather relevant information from multiple print and digital sources, assess the credibility and accuracy of each source, and integrate the information while avoiding plagiarism.</w:t>
            </w:r>
          </w:p>
          <w:p w14:paraId="2C460489" w14:textId="77777777" w:rsidR="003D5288" w:rsidRDefault="003D5288" w:rsidP="003D5288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Draw evidence from literary and informational texts to support analysis and reflection.</w:t>
            </w:r>
          </w:p>
          <w:p w14:paraId="1528BDA2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Writing:</w:t>
            </w:r>
          </w:p>
          <w:p w14:paraId="56FFBCBA" w14:textId="77777777" w:rsidR="003D5288" w:rsidRPr="00E74256" w:rsidRDefault="003D5288" w:rsidP="003D5288">
            <w:pPr>
              <w:pStyle w:val="NoSpacing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routinely over extended time frames (time for reflection and revision) and shorter time frames (a single siting or a day or two) for a range of tasks, purposes, and audiences.</w:t>
            </w:r>
          </w:p>
        </w:tc>
      </w:tr>
      <w:tr w:rsidR="003D5288" w14:paraId="1326D90C" w14:textId="77777777" w:rsidTr="003D5288">
        <w:tc>
          <w:tcPr>
            <w:tcW w:w="4428" w:type="dxa"/>
          </w:tcPr>
          <w:p w14:paraId="670B06C2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Speaking &amp; Listening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428" w:type="dxa"/>
          </w:tcPr>
          <w:p w14:paraId="2D0F40FB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Comprehension &amp; Collaboration:</w:t>
            </w:r>
          </w:p>
          <w:p w14:paraId="3D3CA45E" w14:textId="77777777" w:rsidR="003D5288" w:rsidRDefault="003D5288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  <w:p w14:paraId="5A7A730D" w14:textId="77777777" w:rsidR="003D5288" w:rsidRDefault="003D5288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information presented in diverse media formats, including visually, quantitatively, and orally.</w:t>
            </w:r>
          </w:p>
          <w:p w14:paraId="269CAFD0" w14:textId="77777777" w:rsidR="00D106F0" w:rsidRDefault="00D106F0" w:rsidP="003D5288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Evaluate a speaker’s point of view, reasoning, and use of evidence and rhetoric.</w:t>
            </w:r>
          </w:p>
          <w:p w14:paraId="64117C3A" w14:textId="77777777" w:rsidR="00D106F0" w:rsidRPr="00F0175C" w:rsidRDefault="00D106F0" w:rsidP="00D106F0">
            <w:pPr>
              <w:pStyle w:val="NoSpacing"/>
              <w:rPr>
                <w:rFonts w:ascii="Garamond" w:hAnsi="Garamond"/>
                <w:b/>
              </w:rPr>
            </w:pPr>
            <w:r w:rsidRPr="00F0175C">
              <w:rPr>
                <w:rFonts w:ascii="Garamond" w:hAnsi="Garamond"/>
                <w:b/>
              </w:rPr>
              <w:t>Presentation of Knowledge &amp; Ideas</w:t>
            </w:r>
          </w:p>
          <w:p w14:paraId="0DD7A9B8" w14:textId="77777777" w:rsidR="00D106F0" w:rsidRDefault="00D106F0" w:rsidP="00D106F0">
            <w:pPr>
              <w:pStyle w:val="NoSpacing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 information, findings, and supporting evidence such that listeners can follow the line of reasoning and the organization, development, and style are appropriate to task, purpose, and audience.</w:t>
            </w:r>
          </w:p>
          <w:p w14:paraId="2596B9DC" w14:textId="77777777" w:rsidR="00D106F0" w:rsidRDefault="00D106F0" w:rsidP="00D106F0">
            <w:pPr>
              <w:pStyle w:val="NoSpacing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Make strategic use of digital media and visual displays of data to express information and enhance understanding of presentations.</w:t>
            </w:r>
          </w:p>
          <w:p w14:paraId="2264E160" w14:textId="77777777" w:rsidR="00F0175C" w:rsidRPr="00D106F0" w:rsidRDefault="00F0175C" w:rsidP="00D106F0">
            <w:pPr>
              <w:pStyle w:val="NoSpacing"/>
              <w:numPr>
                <w:ilvl w:val="0"/>
                <w:numId w:val="1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Adapt speech to a variety of contexts and communicative tasks, demonstrating command of formal English when indicated or appropriate.</w:t>
            </w:r>
          </w:p>
        </w:tc>
      </w:tr>
      <w:tr w:rsidR="003D5288" w14:paraId="63D0831F" w14:textId="77777777" w:rsidTr="003D5288">
        <w:tc>
          <w:tcPr>
            <w:tcW w:w="4428" w:type="dxa"/>
          </w:tcPr>
          <w:p w14:paraId="54616B8A" w14:textId="77777777" w:rsidR="003D5288" w:rsidRDefault="003D5288" w:rsidP="003D528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Language</w:t>
            </w:r>
          </w:p>
        </w:tc>
        <w:tc>
          <w:tcPr>
            <w:tcW w:w="4428" w:type="dxa"/>
          </w:tcPr>
          <w:p w14:paraId="3867603B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Conventions of Standard English:</w:t>
            </w:r>
          </w:p>
          <w:p w14:paraId="70E37BC4" w14:textId="77777777" w:rsidR="003D5288" w:rsidRDefault="003D5288" w:rsidP="003D5288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command of the conventions of Standard English grammar and usage when writing or speaking.</w:t>
            </w:r>
          </w:p>
          <w:p w14:paraId="62100137" w14:textId="77777777" w:rsidR="003D5288" w:rsidRDefault="003D5288" w:rsidP="003D5288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command of the conventions of Standard English capitalization, punctuation, and spelling when writing.</w:t>
            </w:r>
          </w:p>
          <w:p w14:paraId="1B0B944B" w14:textId="77777777" w:rsidR="003D5288" w:rsidRPr="004C6364" w:rsidRDefault="003D5288" w:rsidP="003D5288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Knowledge of Language:</w:t>
            </w:r>
          </w:p>
          <w:p w14:paraId="2644B7A5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14:paraId="354609D6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  <w:p w14:paraId="5AF428DD" w14:textId="77777777" w:rsidR="003D5288" w:rsidRDefault="003D5288" w:rsidP="003D5288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</w:tr>
    </w:tbl>
    <w:p w14:paraId="51431820" w14:textId="77777777" w:rsidR="00B60C2E" w:rsidRDefault="00B60C2E"/>
    <w:sectPr w:rsidR="00B60C2E" w:rsidSect="003C2DA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918D" w14:textId="77777777" w:rsidR="001879EE" w:rsidRDefault="001879EE" w:rsidP="00F0175C">
      <w:r>
        <w:separator/>
      </w:r>
    </w:p>
  </w:endnote>
  <w:endnote w:type="continuationSeparator" w:id="0">
    <w:p w14:paraId="59EA4076" w14:textId="77777777" w:rsidR="001879EE" w:rsidRDefault="001879EE" w:rsidP="00F0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51A1" w14:textId="77777777" w:rsidR="001879EE" w:rsidRDefault="001879EE" w:rsidP="00F0175C">
      <w:r>
        <w:separator/>
      </w:r>
    </w:p>
  </w:footnote>
  <w:footnote w:type="continuationSeparator" w:id="0">
    <w:p w14:paraId="1E3B6F96" w14:textId="77777777" w:rsidR="001879EE" w:rsidRDefault="001879EE" w:rsidP="00F01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2035" w14:textId="77777777" w:rsidR="001879EE" w:rsidRDefault="001879EE" w:rsidP="003D5288">
    <w:pPr>
      <w:pStyle w:val="Header"/>
      <w:rPr>
        <w:rFonts w:ascii="Garamond" w:hAnsi="Garamond"/>
      </w:rPr>
    </w:pPr>
    <w:r>
      <w:rPr>
        <w:rFonts w:ascii="Garamond" w:hAnsi="Garamond"/>
      </w:rPr>
      <w:t xml:space="preserve">Hilary M. Filkins </w:t>
    </w:r>
    <w:r>
      <w:rPr>
        <w:rFonts w:ascii="Garamond" w:hAnsi="Garamond"/>
      </w:rPr>
      <w:tab/>
      <w:t xml:space="preserve">             </w:t>
    </w:r>
    <w:r>
      <w:rPr>
        <w:rFonts w:ascii="Garamond" w:hAnsi="Garamond"/>
      </w:rPr>
      <w:tab/>
      <w:t>February 23, 2015 – April 24, 1015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14:paraId="36FC6CAB" w14:textId="77777777" w:rsidR="001879EE" w:rsidRPr="007F20F7" w:rsidRDefault="001879EE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39"/>
    <w:multiLevelType w:val="hybridMultilevel"/>
    <w:tmpl w:val="48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C3"/>
    <w:multiLevelType w:val="hybridMultilevel"/>
    <w:tmpl w:val="4EC6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4C6"/>
    <w:multiLevelType w:val="hybridMultilevel"/>
    <w:tmpl w:val="ACBA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23D"/>
    <w:multiLevelType w:val="hybridMultilevel"/>
    <w:tmpl w:val="871A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721"/>
    <w:multiLevelType w:val="hybridMultilevel"/>
    <w:tmpl w:val="973C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A67"/>
    <w:multiLevelType w:val="hybridMultilevel"/>
    <w:tmpl w:val="BD560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33F0"/>
    <w:multiLevelType w:val="hybridMultilevel"/>
    <w:tmpl w:val="84486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4CD"/>
    <w:multiLevelType w:val="hybridMultilevel"/>
    <w:tmpl w:val="F2B4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029E9"/>
    <w:multiLevelType w:val="hybridMultilevel"/>
    <w:tmpl w:val="1DB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D75F3"/>
    <w:multiLevelType w:val="hybridMultilevel"/>
    <w:tmpl w:val="97BC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3560"/>
    <w:multiLevelType w:val="hybridMultilevel"/>
    <w:tmpl w:val="CCF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2C93"/>
    <w:multiLevelType w:val="hybridMultilevel"/>
    <w:tmpl w:val="6A5E1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D55E6"/>
    <w:multiLevelType w:val="hybridMultilevel"/>
    <w:tmpl w:val="D390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E78A1"/>
    <w:multiLevelType w:val="hybridMultilevel"/>
    <w:tmpl w:val="2CD67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912CC"/>
    <w:multiLevelType w:val="hybridMultilevel"/>
    <w:tmpl w:val="BE84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32A7C"/>
    <w:multiLevelType w:val="hybridMultilevel"/>
    <w:tmpl w:val="029A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118B8"/>
    <w:multiLevelType w:val="hybridMultilevel"/>
    <w:tmpl w:val="B8C8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55C7E"/>
    <w:multiLevelType w:val="hybridMultilevel"/>
    <w:tmpl w:val="2B0AA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335F4"/>
    <w:multiLevelType w:val="hybridMultilevel"/>
    <w:tmpl w:val="1246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B455D"/>
    <w:multiLevelType w:val="hybridMultilevel"/>
    <w:tmpl w:val="F41A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4"/>
  </w:num>
  <w:num w:numId="16">
    <w:abstractNumId w:val="17"/>
  </w:num>
  <w:num w:numId="17">
    <w:abstractNumId w:val="2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CCXfO5CupnPQ8mkvDdFasjn2mIE=" w:salt="ZwEWzZ510MYGb/CizWKxNg=="/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6YhiOdCz9lgJGbTcsJFwBvCbbK0=" w:salt="XTtfU6kRSTdQs9drbvtCp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8"/>
    <w:rsid w:val="00021330"/>
    <w:rsid w:val="00130815"/>
    <w:rsid w:val="001879EE"/>
    <w:rsid w:val="0028514C"/>
    <w:rsid w:val="003932C7"/>
    <w:rsid w:val="003C2DA7"/>
    <w:rsid w:val="003D5288"/>
    <w:rsid w:val="00736622"/>
    <w:rsid w:val="00986065"/>
    <w:rsid w:val="00A22128"/>
    <w:rsid w:val="00B60C2E"/>
    <w:rsid w:val="00B93567"/>
    <w:rsid w:val="00C453E5"/>
    <w:rsid w:val="00D106F0"/>
    <w:rsid w:val="00F0175C"/>
    <w:rsid w:val="00F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01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88"/>
  </w:style>
  <w:style w:type="paragraph" w:styleId="Header">
    <w:name w:val="header"/>
    <w:basedOn w:val="Normal"/>
    <w:link w:val="HeaderChar"/>
    <w:uiPriority w:val="99"/>
    <w:unhideWhenUsed/>
    <w:rsid w:val="003D5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88"/>
  </w:style>
  <w:style w:type="table" w:styleId="TableGrid">
    <w:name w:val="Table Grid"/>
    <w:basedOn w:val="TableNormal"/>
    <w:uiPriority w:val="59"/>
    <w:rsid w:val="003D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1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88"/>
  </w:style>
  <w:style w:type="paragraph" w:styleId="Header">
    <w:name w:val="header"/>
    <w:basedOn w:val="Normal"/>
    <w:link w:val="HeaderChar"/>
    <w:uiPriority w:val="99"/>
    <w:unhideWhenUsed/>
    <w:rsid w:val="003D5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88"/>
  </w:style>
  <w:style w:type="table" w:styleId="TableGrid">
    <w:name w:val="Table Grid"/>
    <w:basedOn w:val="TableNormal"/>
    <w:uiPriority w:val="59"/>
    <w:rsid w:val="003D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1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1869</Words>
  <Characters>10657</Characters>
  <Application>Microsoft Macintosh Word</Application>
  <DocSecurity>14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dc:description/>
  <cp:lastModifiedBy>Hilary Filkins</cp:lastModifiedBy>
  <cp:revision>3</cp:revision>
  <dcterms:created xsi:type="dcterms:W3CDTF">2014-08-20T23:23:00Z</dcterms:created>
  <dcterms:modified xsi:type="dcterms:W3CDTF">2014-09-01T19:44:00Z</dcterms:modified>
</cp:coreProperties>
</file>